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en-GB"/>
        </w:rPr>
        <w:id w:val="1592576648"/>
        <w:docPartObj>
          <w:docPartGallery w:val="Cover Pages"/>
          <w:docPartUnique/>
        </w:docPartObj>
      </w:sdtPr>
      <w:sdtEndPr/>
      <w:sdtContent>
        <w:p w14:paraId="243F5624" w14:textId="77777777" w:rsidR="0012686C" w:rsidRPr="00A725D6" w:rsidRDefault="0012686C" w:rsidP="0012686C">
          <w:pPr>
            <w:rPr>
              <w:lang w:val="en-GB"/>
            </w:rPr>
          </w:pPr>
        </w:p>
        <w:tbl>
          <w:tblPr>
            <w:tblW w:w="0" w:type="auto"/>
            <w:tblCellMar>
              <w:top w:w="85" w:type="dxa"/>
              <w:bottom w:w="85" w:type="dxa"/>
            </w:tblCellMar>
            <w:tblLook w:val="04A0" w:firstRow="1" w:lastRow="0" w:firstColumn="1" w:lastColumn="0" w:noHBand="0" w:noVBand="1"/>
          </w:tblPr>
          <w:tblGrid>
            <w:gridCol w:w="3686"/>
          </w:tblGrid>
          <w:tr w:rsidR="0012686C" w:rsidRPr="00A725D6" w14:paraId="1AC8A88E" w14:textId="77777777" w:rsidTr="00993B1E">
            <w:tc>
              <w:tcPr>
                <w:tcW w:w="3686" w:type="dxa"/>
                <w:tcBorders>
                  <w:bottom w:val="single" w:sz="4" w:space="0" w:color="A6A6A6" w:themeColor="background1" w:themeShade="A6"/>
                </w:tcBorders>
                <w:shd w:val="clear" w:color="auto" w:fill="auto"/>
              </w:tcPr>
              <w:p w14:paraId="0731C113" w14:textId="45538F04" w:rsidR="006F72C6" w:rsidRPr="00A725D6" w:rsidRDefault="00494702" w:rsidP="00494702">
                <w:pPr>
                  <w:rPr>
                    <w:lang w:val="en-GB"/>
                  </w:rPr>
                </w:pPr>
                <w:r>
                  <w:rPr>
                    <w:lang w:val="en-GB"/>
                  </w:rPr>
                  <w:fldChar w:fldCharType="begin">
                    <w:ffData>
                      <w:name w:val="Text1"/>
                      <w:enabled/>
                      <w:calcOnExit w:val="0"/>
                      <w:textInput>
                        <w:default w:val="EBA/ITS/2021/06"/>
                      </w:textInput>
                    </w:ffData>
                  </w:fldChar>
                </w:r>
                <w:r>
                  <w:rPr>
                    <w:lang w:val="en-GB"/>
                  </w:rPr>
                  <w:instrText xml:space="preserve"> </w:instrText>
                </w:r>
                <w:bookmarkStart w:id="0" w:name="Text1"/>
                <w:r>
                  <w:rPr>
                    <w:lang w:val="en-GB"/>
                  </w:rPr>
                  <w:instrText xml:space="preserve">FORMTEXT </w:instrText>
                </w:r>
                <w:r>
                  <w:rPr>
                    <w:lang w:val="en-GB"/>
                  </w:rPr>
                </w:r>
                <w:r>
                  <w:rPr>
                    <w:lang w:val="en-GB"/>
                  </w:rPr>
                  <w:fldChar w:fldCharType="separate"/>
                </w:r>
                <w:r>
                  <w:rPr>
                    <w:noProof/>
                    <w:lang w:val="en-GB"/>
                  </w:rPr>
                  <w:t>EBA/ITS/2021/06</w:t>
                </w:r>
                <w:r>
                  <w:rPr>
                    <w:lang w:val="en-GB"/>
                  </w:rPr>
                  <w:fldChar w:fldCharType="end"/>
                </w:r>
                <w:bookmarkEnd w:id="0"/>
              </w:p>
            </w:tc>
          </w:tr>
          <w:tr w:rsidR="0012686C" w:rsidRPr="00A725D6" w14:paraId="09C69A3E" w14:textId="77777777" w:rsidTr="00993B1E">
            <w:tc>
              <w:tcPr>
                <w:tcW w:w="3686" w:type="dxa"/>
                <w:tcBorders>
                  <w:top w:val="single" w:sz="4" w:space="0" w:color="A6A6A6" w:themeColor="background1" w:themeShade="A6"/>
                  <w:bottom w:val="single" w:sz="4" w:space="0" w:color="A6A6A6" w:themeColor="background1" w:themeShade="A6"/>
                </w:tcBorders>
                <w:shd w:val="clear" w:color="auto" w:fill="auto"/>
              </w:tcPr>
              <w:p w14:paraId="1EF72156" w14:textId="77777777" w:rsidR="0012686C" w:rsidRPr="00A725D6" w:rsidRDefault="001A5BD4" w:rsidP="00993B1E">
                <w:pPr>
                  <w:rPr>
                    <w:lang w:val="en-GB"/>
                  </w:rPr>
                </w:pPr>
                <w:r w:rsidRPr="004D7668">
                  <w:rPr>
                    <w:highlight w:val="yellow"/>
                    <w:lang w:val="en-GB"/>
                  </w:rPr>
                  <w:fldChar w:fldCharType="begin">
                    <w:ffData>
                      <w:name w:val=""/>
                      <w:enabled/>
                      <w:calcOnExit w:val="0"/>
                      <w:textInput>
                        <w:default w:val="DD Month YYYY"/>
                      </w:textInput>
                    </w:ffData>
                  </w:fldChar>
                </w:r>
                <w:r w:rsidR="0012686C" w:rsidRPr="004D7668">
                  <w:rPr>
                    <w:highlight w:val="yellow"/>
                    <w:lang w:val="en-GB"/>
                  </w:rPr>
                  <w:instrText xml:space="preserve"> FORMTEXT </w:instrText>
                </w:r>
                <w:r w:rsidRPr="004D7668">
                  <w:rPr>
                    <w:highlight w:val="yellow"/>
                    <w:lang w:val="en-GB"/>
                  </w:rPr>
                </w:r>
                <w:r w:rsidRPr="004D7668">
                  <w:rPr>
                    <w:highlight w:val="yellow"/>
                    <w:lang w:val="en-GB"/>
                  </w:rPr>
                  <w:fldChar w:fldCharType="separate"/>
                </w:r>
                <w:r w:rsidR="0012686C" w:rsidRPr="004D7668">
                  <w:rPr>
                    <w:highlight w:val="yellow"/>
                    <w:lang w:val="en-GB"/>
                  </w:rPr>
                  <w:t>DD Month YYYY</w:t>
                </w:r>
                <w:r w:rsidRPr="004D7668">
                  <w:rPr>
                    <w:highlight w:val="yellow"/>
                    <w:lang w:val="en-GB"/>
                  </w:rPr>
                  <w:fldChar w:fldCharType="end"/>
                </w:r>
              </w:p>
            </w:tc>
          </w:tr>
          <w:tr w:rsidR="0012686C" w:rsidRPr="00A725D6" w14:paraId="66035CD4" w14:textId="77777777" w:rsidTr="00993B1E">
            <w:tc>
              <w:tcPr>
                <w:tcW w:w="3686" w:type="dxa"/>
                <w:tcBorders>
                  <w:top w:val="single" w:sz="4" w:space="0" w:color="A6A6A6" w:themeColor="background1" w:themeShade="A6"/>
                </w:tcBorders>
                <w:shd w:val="clear" w:color="auto" w:fill="auto"/>
              </w:tcPr>
              <w:p w14:paraId="2317E044" w14:textId="77777777" w:rsidR="0012686C" w:rsidRPr="00A725D6" w:rsidRDefault="00E337DC" w:rsidP="00993B1E">
                <w:pPr>
                  <w:rPr>
                    <w:lang w:val="en-GB"/>
                  </w:rPr>
                </w:pPr>
                <w:r w:rsidRPr="00E337DC">
                  <w:rPr>
                    <w:highlight w:val="yellow"/>
                    <w:lang w:val="en-GB"/>
                  </w:rPr>
                  <w:t>EBA Regular Use</w:t>
                </w:r>
              </w:p>
            </w:tc>
          </w:tr>
        </w:tbl>
        <w:p w14:paraId="2A0D1FD6" w14:textId="77777777" w:rsidR="0012686C" w:rsidRPr="00A725D6" w:rsidRDefault="0012686C" w:rsidP="0012686C">
          <w:pPr>
            <w:rPr>
              <w:lang w:val="en-GB"/>
            </w:rPr>
          </w:pPr>
        </w:p>
        <w:tbl>
          <w:tblPr>
            <w:tblStyle w:val="TableGrid"/>
            <w:tblW w:w="0" w:type="auto"/>
            <w:tblBorders>
              <w:bottom w:val="none" w:sz="0" w:space="0" w:color="auto"/>
              <w:insideH w:val="none" w:sz="0" w:space="0" w:color="auto"/>
            </w:tblBorders>
            <w:tblLook w:val="04A0" w:firstRow="1" w:lastRow="0" w:firstColumn="1" w:lastColumn="0" w:noHBand="0" w:noVBand="1"/>
          </w:tblPr>
          <w:tblGrid>
            <w:gridCol w:w="8781"/>
          </w:tblGrid>
          <w:tr w:rsidR="0012686C" w:rsidRPr="00A725D6" w14:paraId="787E9335" w14:textId="77777777" w:rsidTr="00993B1E">
            <w:trPr>
              <w:cnfStyle w:val="100000000000" w:firstRow="1" w:lastRow="0" w:firstColumn="0" w:lastColumn="0" w:oddVBand="0" w:evenVBand="0" w:oddHBand="0" w:evenHBand="0" w:firstRowFirstColumn="0" w:firstRowLastColumn="0" w:lastRowFirstColumn="0" w:lastRowLastColumn="0"/>
              <w:trHeight w:val="4073"/>
            </w:trPr>
            <w:tc>
              <w:tcPr>
                <w:tcW w:w="8781" w:type="dxa"/>
                <w:tcBorders>
                  <w:top w:val="none" w:sz="0" w:space="0" w:color="auto"/>
                  <w:left w:val="none" w:sz="0" w:space="0" w:color="auto"/>
                  <w:bottom w:val="none" w:sz="0" w:space="0" w:color="auto"/>
                  <w:right w:val="none" w:sz="0" w:space="0" w:color="auto"/>
                  <w:tl2br w:val="none" w:sz="0" w:space="0" w:color="auto"/>
                  <w:tr2bl w:val="none" w:sz="0" w:space="0" w:color="auto"/>
                </w:tcBorders>
                <w:tcMar>
                  <w:left w:w="0" w:type="dxa"/>
                  <w:right w:w="0" w:type="dxa"/>
                </w:tcMar>
                <w:vAlign w:val="bottom"/>
              </w:tcPr>
              <w:p w14:paraId="548B2105" w14:textId="77777777" w:rsidR="0012686C" w:rsidRPr="007C1797" w:rsidRDefault="00DC3E99" w:rsidP="00FE0C92">
                <w:pPr>
                  <w:pStyle w:val="Contenttitle"/>
                </w:pPr>
                <w:r w:rsidRPr="007C1797">
                  <w:t>Final Report</w:t>
                </w:r>
              </w:p>
            </w:tc>
          </w:tr>
          <w:tr w:rsidR="0012686C" w:rsidRPr="00A725D6" w14:paraId="0B1B038F" w14:textId="77777777" w:rsidTr="00993B1E">
            <w:tc>
              <w:tcPr>
                <w:tcW w:w="8781" w:type="dxa"/>
                <w:tcMar>
                  <w:left w:w="0" w:type="dxa"/>
                  <w:right w:w="0" w:type="dxa"/>
                </w:tcMar>
                <w:vAlign w:val="top"/>
              </w:tcPr>
              <w:p w14:paraId="2AE242A7" w14:textId="77777777" w:rsidR="00FE0C92" w:rsidRPr="007C1797" w:rsidRDefault="00FE0C92" w:rsidP="00993B1E">
                <w:pPr>
                  <w:pStyle w:val="Subtitle"/>
                </w:pPr>
                <w:r w:rsidRPr="007C1797">
                  <w:t xml:space="preserve">Draft Implementing </w:t>
                </w:r>
                <w:r w:rsidR="007C1797">
                  <w:t xml:space="preserve">Technical </w:t>
                </w:r>
                <w:r w:rsidRPr="007C1797">
                  <w:t>Standards</w:t>
                </w:r>
              </w:p>
              <w:p w14:paraId="4523D7CF" w14:textId="4F67856C" w:rsidR="00A72C7D" w:rsidRPr="007C1797" w:rsidRDefault="007C1797" w:rsidP="007C1797">
                <w:pPr>
                  <w:pStyle w:val="Subtitle"/>
                </w:pPr>
                <w:r w:rsidRPr="007C1797">
                  <w:t xml:space="preserve">amending Regulation (EU) 2018/1624 </w:t>
                </w:r>
                <w:r w:rsidR="0012686C" w:rsidRPr="007C1797">
                  <w:t xml:space="preserve">on </w:t>
                </w:r>
                <w:r w:rsidRPr="007C1797">
                  <w:t xml:space="preserve">the provision of information for the purposes of resolution plans </w:t>
                </w:r>
                <w:r>
                  <w:t xml:space="preserve">in </w:t>
                </w:r>
                <w:r w:rsidR="00971C92">
                  <w:t>the context of</w:t>
                </w:r>
                <w:r w:rsidRPr="007C1797">
                  <w:t xml:space="preserve"> BRRD2 </w:t>
                </w:r>
              </w:p>
            </w:tc>
          </w:tr>
        </w:tbl>
        <w:p w14:paraId="266432E2" w14:textId="77777777" w:rsidR="0012686C" w:rsidRPr="00A725D6" w:rsidRDefault="0012686C" w:rsidP="0012686C">
          <w:pPr>
            <w:rPr>
              <w:lang w:val="en-GB"/>
            </w:rPr>
          </w:pPr>
        </w:p>
        <w:p w14:paraId="6D00C8D6" w14:textId="77777777" w:rsidR="007C1797" w:rsidRDefault="007C1797" w:rsidP="0012686C">
          <w:pPr>
            <w:pStyle w:val="body"/>
            <w:rPr>
              <w:lang w:val="en-GB"/>
            </w:rPr>
          </w:pPr>
          <w:r>
            <w:rPr>
              <w:lang w:val="en-GB"/>
            </w:rPr>
            <w:br w:type="page"/>
          </w:r>
        </w:p>
        <w:p w14:paraId="5225B78C" w14:textId="77777777" w:rsidR="0012686C" w:rsidRPr="00A725D6" w:rsidRDefault="00494702" w:rsidP="0012686C">
          <w:pPr>
            <w:rPr>
              <w:lang w:val="en-GB"/>
            </w:rPr>
          </w:pPr>
        </w:p>
      </w:sdtContent>
    </w:sdt>
    <w:p w14:paraId="0BFF4ECE" w14:textId="77777777" w:rsidR="0012686C" w:rsidRPr="00A725D6" w:rsidRDefault="0012686C" w:rsidP="0012686C">
      <w:pPr>
        <w:pStyle w:val="Contenttitle"/>
        <w:rPr>
          <w:lang w:val="en-GB"/>
        </w:rPr>
      </w:pPr>
      <w:bookmarkStart w:id="1" w:name="_Toc238789994"/>
      <w:bookmarkStart w:id="2" w:name="_Toc238803082"/>
      <w:bookmarkStart w:id="3" w:name="_Toc238803883"/>
      <w:r w:rsidRPr="00A725D6">
        <w:rPr>
          <w:lang w:val="en-GB"/>
        </w:rPr>
        <w:t>Contents</w:t>
      </w:r>
      <w:bookmarkEnd w:id="1"/>
      <w:bookmarkEnd w:id="2"/>
      <w:bookmarkEnd w:id="3"/>
    </w:p>
    <w:p w14:paraId="03207C3C" w14:textId="432A5EF3" w:rsidR="00073D91" w:rsidRDefault="003E318D">
      <w:pPr>
        <w:pStyle w:val="TOC1"/>
        <w:rPr>
          <w:b w:val="0"/>
          <w:bCs w:val="0"/>
          <w:color w:val="auto"/>
        </w:rPr>
      </w:pPr>
      <w:r>
        <w:rPr>
          <w:lang w:val="en-GB"/>
        </w:rPr>
        <w:fldChar w:fldCharType="begin"/>
      </w:r>
      <w:r>
        <w:rPr>
          <w:lang w:val="en-GB"/>
        </w:rPr>
        <w:instrText xml:space="preserve"> TOC \o "1-2" \h \z \u </w:instrText>
      </w:r>
      <w:r>
        <w:rPr>
          <w:lang w:val="en-GB"/>
        </w:rPr>
        <w:fldChar w:fldCharType="separate"/>
      </w:r>
      <w:hyperlink w:anchor="_Toc71213166" w:history="1">
        <w:r w:rsidR="00073D91" w:rsidRPr="00A7650B">
          <w:rPr>
            <w:rStyle w:val="Hyperlink"/>
          </w:rPr>
          <w:t>1.</w:t>
        </w:r>
        <w:r w:rsidR="00073D91">
          <w:rPr>
            <w:b w:val="0"/>
            <w:bCs w:val="0"/>
            <w:color w:val="auto"/>
          </w:rPr>
          <w:tab/>
        </w:r>
        <w:r w:rsidR="00073D91" w:rsidRPr="00A7650B">
          <w:rPr>
            <w:rStyle w:val="Hyperlink"/>
          </w:rPr>
          <w:t>Executive Summary</w:t>
        </w:r>
        <w:r w:rsidR="00073D91">
          <w:rPr>
            <w:webHidden/>
          </w:rPr>
          <w:tab/>
        </w:r>
        <w:r w:rsidR="00073D91">
          <w:rPr>
            <w:webHidden/>
          </w:rPr>
          <w:fldChar w:fldCharType="begin"/>
        </w:r>
        <w:r w:rsidR="00073D91">
          <w:rPr>
            <w:webHidden/>
          </w:rPr>
          <w:instrText xml:space="preserve"> PAGEREF _Toc71213166 \h </w:instrText>
        </w:r>
        <w:r w:rsidR="00073D91">
          <w:rPr>
            <w:webHidden/>
          </w:rPr>
        </w:r>
        <w:r w:rsidR="00073D91">
          <w:rPr>
            <w:webHidden/>
          </w:rPr>
          <w:fldChar w:fldCharType="separate"/>
        </w:r>
        <w:r w:rsidR="00073D91">
          <w:rPr>
            <w:webHidden/>
          </w:rPr>
          <w:t>3</w:t>
        </w:r>
        <w:r w:rsidR="00073D91">
          <w:rPr>
            <w:webHidden/>
          </w:rPr>
          <w:fldChar w:fldCharType="end"/>
        </w:r>
      </w:hyperlink>
    </w:p>
    <w:p w14:paraId="104AC2F8" w14:textId="5549E64F" w:rsidR="00073D91" w:rsidRDefault="00494702">
      <w:pPr>
        <w:pStyle w:val="TOC1"/>
        <w:rPr>
          <w:b w:val="0"/>
          <w:bCs w:val="0"/>
          <w:color w:val="auto"/>
        </w:rPr>
      </w:pPr>
      <w:hyperlink w:anchor="_Toc71213167" w:history="1">
        <w:r w:rsidR="00073D91" w:rsidRPr="00A7650B">
          <w:rPr>
            <w:rStyle w:val="Hyperlink"/>
          </w:rPr>
          <w:t>2.</w:t>
        </w:r>
        <w:r w:rsidR="00073D91">
          <w:rPr>
            <w:b w:val="0"/>
            <w:bCs w:val="0"/>
            <w:color w:val="auto"/>
          </w:rPr>
          <w:tab/>
        </w:r>
        <w:r w:rsidR="00073D91" w:rsidRPr="00A7650B">
          <w:rPr>
            <w:rStyle w:val="Hyperlink"/>
          </w:rPr>
          <w:t>Background and rationale</w:t>
        </w:r>
        <w:r w:rsidR="00073D91">
          <w:rPr>
            <w:webHidden/>
          </w:rPr>
          <w:tab/>
        </w:r>
        <w:r w:rsidR="00073D91">
          <w:rPr>
            <w:webHidden/>
          </w:rPr>
          <w:fldChar w:fldCharType="begin"/>
        </w:r>
        <w:r w:rsidR="00073D91">
          <w:rPr>
            <w:webHidden/>
          </w:rPr>
          <w:instrText xml:space="preserve"> PAGEREF _Toc71213167 \h </w:instrText>
        </w:r>
        <w:r w:rsidR="00073D91">
          <w:rPr>
            <w:webHidden/>
          </w:rPr>
        </w:r>
        <w:r w:rsidR="00073D91">
          <w:rPr>
            <w:webHidden/>
          </w:rPr>
          <w:fldChar w:fldCharType="separate"/>
        </w:r>
        <w:r w:rsidR="00073D91">
          <w:rPr>
            <w:webHidden/>
          </w:rPr>
          <w:t>3</w:t>
        </w:r>
        <w:r w:rsidR="00073D91">
          <w:rPr>
            <w:webHidden/>
          </w:rPr>
          <w:fldChar w:fldCharType="end"/>
        </w:r>
      </w:hyperlink>
    </w:p>
    <w:p w14:paraId="1F266E47" w14:textId="53819298" w:rsidR="00073D91" w:rsidRDefault="00494702">
      <w:pPr>
        <w:pStyle w:val="TOC1"/>
        <w:rPr>
          <w:b w:val="0"/>
          <w:bCs w:val="0"/>
          <w:color w:val="auto"/>
        </w:rPr>
      </w:pPr>
      <w:hyperlink w:anchor="_Toc71213168" w:history="1">
        <w:r w:rsidR="00073D91" w:rsidRPr="00A7650B">
          <w:rPr>
            <w:rStyle w:val="Hyperlink"/>
          </w:rPr>
          <w:t>3.</w:t>
        </w:r>
        <w:r w:rsidR="00073D91">
          <w:rPr>
            <w:b w:val="0"/>
            <w:bCs w:val="0"/>
            <w:color w:val="auto"/>
          </w:rPr>
          <w:tab/>
        </w:r>
        <w:r w:rsidR="00073D91" w:rsidRPr="00A7650B">
          <w:rPr>
            <w:rStyle w:val="Hyperlink"/>
          </w:rPr>
          <w:t>Draft implementing technical standards</w:t>
        </w:r>
        <w:r w:rsidR="00073D91">
          <w:rPr>
            <w:webHidden/>
          </w:rPr>
          <w:tab/>
        </w:r>
        <w:r w:rsidR="00073D91">
          <w:rPr>
            <w:webHidden/>
          </w:rPr>
          <w:fldChar w:fldCharType="begin"/>
        </w:r>
        <w:r w:rsidR="00073D91">
          <w:rPr>
            <w:webHidden/>
          </w:rPr>
          <w:instrText xml:space="preserve"> PAGEREF _Toc71213168 \h </w:instrText>
        </w:r>
        <w:r w:rsidR="00073D91">
          <w:rPr>
            <w:webHidden/>
          </w:rPr>
        </w:r>
        <w:r w:rsidR="00073D91">
          <w:rPr>
            <w:webHidden/>
          </w:rPr>
          <w:fldChar w:fldCharType="separate"/>
        </w:r>
        <w:r w:rsidR="00073D91">
          <w:rPr>
            <w:webHidden/>
          </w:rPr>
          <w:t>5</w:t>
        </w:r>
        <w:r w:rsidR="00073D91">
          <w:rPr>
            <w:webHidden/>
          </w:rPr>
          <w:fldChar w:fldCharType="end"/>
        </w:r>
      </w:hyperlink>
    </w:p>
    <w:p w14:paraId="0F8C1ED2" w14:textId="7A03E977" w:rsidR="0012686C" w:rsidRPr="00A725D6" w:rsidRDefault="003E318D" w:rsidP="0012686C">
      <w:pPr>
        <w:rPr>
          <w:lang w:val="en-GB"/>
        </w:rPr>
      </w:pPr>
      <w:r>
        <w:rPr>
          <w:lang w:val="en-GB"/>
        </w:rPr>
        <w:fldChar w:fldCharType="end"/>
      </w:r>
    </w:p>
    <w:p w14:paraId="0D8722C7" w14:textId="77777777" w:rsidR="0012686C" w:rsidRPr="00A725D6" w:rsidRDefault="0012686C" w:rsidP="0012686C">
      <w:pPr>
        <w:rPr>
          <w:lang w:val="en-GB"/>
        </w:rPr>
      </w:pPr>
      <w:r w:rsidRPr="00A725D6">
        <w:rPr>
          <w:lang w:val="en-GB"/>
        </w:rPr>
        <w:br w:type="page"/>
      </w:r>
    </w:p>
    <w:p w14:paraId="144DE085" w14:textId="04169962" w:rsidR="0012686C" w:rsidRDefault="0012686C" w:rsidP="003E318D">
      <w:pPr>
        <w:pStyle w:val="Numberedtilelevel1"/>
        <w:outlineLvl w:val="0"/>
      </w:pPr>
      <w:bookmarkStart w:id="4" w:name="_Toc331518247"/>
      <w:bookmarkStart w:id="5" w:name="_Toc71213166"/>
      <w:r w:rsidRPr="004955E7">
        <w:lastRenderedPageBreak/>
        <w:t>Executive</w:t>
      </w:r>
      <w:r w:rsidRPr="003E318D">
        <w:t xml:space="preserve"> </w:t>
      </w:r>
      <w:r w:rsidR="009017D9">
        <w:t>s</w:t>
      </w:r>
      <w:r w:rsidRPr="003E318D">
        <w:t>ummary</w:t>
      </w:r>
      <w:bookmarkEnd w:id="4"/>
      <w:bookmarkEnd w:id="5"/>
      <w:r w:rsidRPr="003E318D">
        <w:t xml:space="preserve"> </w:t>
      </w:r>
    </w:p>
    <w:p w14:paraId="039A6FA3" w14:textId="1BFBC675" w:rsidR="009A4CC8" w:rsidRDefault="00650CEE" w:rsidP="005E6844">
      <w:pPr>
        <w:pStyle w:val="numberedparagraph"/>
      </w:pPr>
      <w:r>
        <w:t xml:space="preserve">A small number of amendments </w:t>
      </w:r>
      <w:r w:rsidR="009017D9">
        <w:t>are</w:t>
      </w:r>
      <w:r>
        <w:t xml:space="preserve"> proposed to the ITS on Resolution Planning </w:t>
      </w:r>
      <w:r w:rsidR="009017D9">
        <w:t>R</w:t>
      </w:r>
      <w:r>
        <w:t xml:space="preserve">eporting to accommodate changes introduced by BRRD2, to reflect the </w:t>
      </w:r>
      <w:r w:rsidR="009A4CC8" w:rsidRPr="006E3F98">
        <w:t xml:space="preserve">practical experience gathered </w:t>
      </w:r>
      <w:r w:rsidR="009017D9">
        <w:t>from</w:t>
      </w:r>
      <w:r w:rsidR="009A4CC8" w:rsidRPr="006E3F98">
        <w:t xml:space="preserve"> </w:t>
      </w:r>
      <w:r w:rsidR="009A4CC8">
        <w:t xml:space="preserve">resolution </w:t>
      </w:r>
      <w:r w:rsidR="009A4CC8" w:rsidRPr="006E3F98">
        <w:t xml:space="preserve">reporting since end-2018 and to remove some identified obstacles at the technical level that hamper compliance with the requirements specified in these </w:t>
      </w:r>
      <w:r w:rsidR="009A4CC8">
        <w:t>ITS</w:t>
      </w:r>
      <w:r w:rsidR="009A4CC8" w:rsidRPr="006E3F98">
        <w:t>.</w:t>
      </w:r>
      <w:r w:rsidR="009A4CC8">
        <w:t xml:space="preserve"> Th</w:t>
      </w:r>
      <w:r w:rsidR="009017D9">
        <w:t>e</w:t>
      </w:r>
      <w:r w:rsidR="009A4CC8">
        <w:t>s</w:t>
      </w:r>
      <w:r w:rsidR="009017D9">
        <w:t>e</w:t>
      </w:r>
      <w:r w:rsidR="009A4CC8" w:rsidRPr="006E3F98">
        <w:t xml:space="preserve"> amending ITS </w:t>
      </w:r>
      <w:r w:rsidR="009A4CC8">
        <w:t xml:space="preserve">also </w:t>
      </w:r>
      <w:r w:rsidR="009A4CC8" w:rsidRPr="006E3F98">
        <w:t>include minor corrections to references as well as an updated list of Deposit Guarantee Schemes (Z 06.00).</w:t>
      </w:r>
    </w:p>
    <w:p w14:paraId="076B75E7" w14:textId="77777777" w:rsidR="009A4CC8" w:rsidRPr="007C1797" w:rsidRDefault="009A4CC8" w:rsidP="009A4CC8">
      <w:pPr>
        <w:pStyle w:val="Titlelevel2"/>
        <w:rPr>
          <w:lang w:val="en-GB" w:eastAsia="en-GB"/>
        </w:rPr>
      </w:pPr>
      <w:r w:rsidRPr="007C1797">
        <w:rPr>
          <w:lang w:val="en-GB" w:eastAsia="en-GB"/>
        </w:rPr>
        <w:t>Next steps</w:t>
      </w:r>
    </w:p>
    <w:p w14:paraId="4096CD99" w14:textId="05C6941E" w:rsidR="009A4CC8" w:rsidRDefault="009A4CC8" w:rsidP="009A4CC8">
      <w:pPr>
        <w:pStyle w:val="numberedparagraph"/>
      </w:pPr>
      <w:r w:rsidRPr="007C1797">
        <w:t xml:space="preserve">The draft implementing technical standards will be submitted to the Commission for endorsement before being published in the Official Journal of the European Union. The technical standards </w:t>
      </w:r>
      <w:r>
        <w:t>are expected</w:t>
      </w:r>
      <w:r w:rsidR="009B0DFE">
        <w:t xml:space="preserve"> to</w:t>
      </w:r>
      <w:r w:rsidR="009017D9">
        <w:t xml:space="preserve"> be</w:t>
      </w:r>
      <w:r w:rsidR="009B0DFE">
        <w:t xml:space="preserve"> appl</w:t>
      </w:r>
      <w:r w:rsidR="009017D9">
        <w:t>ied during</w:t>
      </w:r>
      <w:r>
        <w:t xml:space="preserve"> the course of this year and</w:t>
      </w:r>
      <w:r w:rsidR="00657184">
        <w:t>,</w:t>
      </w:r>
      <w:r>
        <w:t xml:space="preserve"> for the first time</w:t>
      </w:r>
      <w:r w:rsidR="00657184">
        <w:t>,</w:t>
      </w:r>
      <w:r>
        <w:t xml:space="preserve"> for reports as of 31 December 2021 (reference date).</w:t>
      </w:r>
    </w:p>
    <w:p w14:paraId="0AAB18F3" w14:textId="77777777" w:rsidR="0012686C" w:rsidRPr="003E318D" w:rsidRDefault="0012686C" w:rsidP="003E318D">
      <w:pPr>
        <w:pStyle w:val="Numberedtilelevel1"/>
        <w:outlineLvl w:val="0"/>
      </w:pPr>
      <w:bookmarkStart w:id="6" w:name="_Toc331518248"/>
      <w:bookmarkStart w:id="7" w:name="_Toc71213167"/>
      <w:bookmarkStart w:id="8" w:name="_Toc238803087"/>
      <w:bookmarkStart w:id="9" w:name="_Toc238803888"/>
      <w:r w:rsidRPr="003E318D">
        <w:t xml:space="preserve">Background and </w:t>
      </w:r>
      <w:r w:rsidRPr="004955E7">
        <w:t>rationale</w:t>
      </w:r>
      <w:bookmarkEnd w:id="6"/>
      <w:bookmarkEnd w:id="7"/>
    </w:p>
    <w:p w14:paraId="60E8D274" w14:textId="3020943C" w:rsidR="00F653FF" w:rsidRDefault="001C4D53" w:rsidP="001C4D53">
      <w:pPr>
        <w:pStyle w:val="numberedparagraph"/>
      </w:pPr>
      <w:r>
        <w:t xml:space="preserve">The main purpose of these draft amending </w:t>
      </w:r>
      <w:r w:rsidR="009017D9">
        <w:t>i</w:t>
      </w:r>
      <w:r>
        <w:t xml:space="preserve">mplementing </w:t>
      </w:r>
      <w:r w:rsidR="009017D9">
        <w:t>t</w:t>
      </w:r>
      <w:r>
        <w:t xml:space="preserve">echnical </w:t>
      </w:r>
      <w:r w:rsidR="009017D9">
        <w:t>s</w:t>
      </w:r>
      <w:r>
        <w:t xml:space="preserve">tandards is to re-align the provisions of Regulation (EU) 2018/1624 (ITS on Resolution Planning Reporting) with the provisions of </w:t>
      </w:r>
      <w:r w:rsidRPr="001C4D53">
        <w:t>Directive 2014/59/EU</w:t>
      </w:r>
      <w:r>
        <w:t xml:space="preserve"> (BRRD) in response to the changes to the minimum requirement for own funds and eligible liabilities (MREL) introduced by </w:t>
      </w:r>
      <w:r w:rsidRPr="001C4D53">
        <w:t xml:space="preserve">Directive (EU) 2019/879 </w:t>
      </w:r>
      <w:r>
        <w:t>(BRRD2).</w:t>
      </w:r>
    </w:p>
    <w:p w14:paraId="5EDEA479" w14:textId="6CE37C77" w:rsidR="001C4D53" w:rsidRDefault="001C4D53" w:rsidP="001C4D53">
      <w:pPr>
        <w:pStyle w:val="numberedparagraph"/>
      </w:pPr>
      <w:r>
        <w:t>The following amendments have been introduced in response to BRRD2:</w:t>
      </w:r>
    </w:p>
    <w:p w14:paraId="1E58AB39" w14:textId="6E2AC3AF" w:rsidR="001C4D53" w:rsidRDefault="001C4D53" w:rsidP="001C4D53">
      <w:pPr>
        <w:pStyle w:val="bullet2"/>
      </w:pPr>
      <w:r>
        <w:t>Regarding liabilities excluded from bail in,</w:t>
      </w:r>
      <w:r w:rsidR="00C37A76">
        <w:t xml:space="preserve"> as shown in template Z 02.00,</w:t>
      </w:r>
      <w:r>
        <w:t xml:space="preserve"> the row on system operator liabilities (Article 44(2), point (f) BRRD) was modified and a new row on l</w:t>
      </w:r>
      <w:r w:rsidRPr="001C4D53">
        <w:t xml:space="preserve">iabilities </w:t>
      </w:r>
      <w:r w:rsidR="009017D9">
        <w:t>with</w:t>
      </w:r>
      <w:r w:rsidR="009017D9" w:rsidRPr="001C4D53">
        <w:t xml:space="preserve"> </w:t>
      </w:r>
      <w:r w:rsidRPr="001C4D53">
        <w:t>other entities of the resolution group</w:t>
      </w:r>
      <w:r>
        <w:t xml:space="preserve"> (Article 44(2), point (h) BRRD) was added.</w:t>
      </w:r>
    </w:p>
    <w:p w14:paraId="4AAD6773" w14:textId="77777777" w:rsidR="001C4D53" w:rsidRDefault="001C4D53" w:rsidP="001C4D53">
      <w:pPr>
        <w:pStyle w:val="bullet2"/>
      </w:pPr>
      <w:r>
        <w:t>Given that MREL is expressed, and compliance with the requirement is assessed, among others, in relation to the Total Exposure Measure of the leverage ratio, a new row</w:t>
      </w:r>
      <w:r w:rsidR="00C37A76">
        <w:t xml:space="preserve"> capturing the reporting entities’ total exposure measure was added to template Z 03.00.</w:t>
      </w:r>
    </w:p>
    <w:p w14:paraId="79667406" w14:textId="79A2047C" w:rsidR="00C37A76" w:rsidRDefault="00C37A76" w:rsidP="001C4D53">
      <w:pPr>
        <w:pStyle w:val="bullet2"/>
      </w:pPr>
      <w:r>
        <w:t>Templates Z 02.00 and Z 04.00 include one item each capturing liabilities eligible for MREL. The instructions were updated to point to the new Article 45 BRRD and the relevant articles laying down the conditions for eligibility (incl. Article 55 BRRD).</w:t>
      </w:r>
    </w:p>
    <w:p w14:paraId="6A7E14CB" w14:textId="4CDDEFFE" w:rsidR="00C37A76" w:rsidRDefault="00C37A76" w:rsidP="00C37A76">
      <w:pPr>
        <w:pStyle w:val="numberedparagraph"/>
      </w:pPr>
      <w:r>
        <w:t>These amending ITS also clarify or amend the provisions on the unique keys for reporting information in the open axis templates Z 08.00 to Z 10.02</w:t>
      </w:r>
      <w:r w:rsidR="00B24A07">
        <w:t xml:space="preserve">. The amendments are a result of </w:t>
      </w:r>
      <w:r>
        <w:t xml:space="preserve">the </w:t>
      </w:r>
      <w:r>
        <w:lastRenderedPageBreak/>
        <w:t xml:space="preserve">practical experience gathered </w:t>
      </w:r>
      <w:r w:rsidR="009017D9">
        <w:t>from</w:t>
      </w:r>
      <w:r w:rsidR="00B24A07">
        <w:t xml:space="preserve"> reporting since end-2018 and aim to remove some identified obstacles at the technical level that hamper compliance with the requirements specified in these ITS.</w:t>
      </w:r>
    </w:p>
    <w:p w14:paraId="01F0B173" w14:textId="794CD3BD" w:rsidR="00C37A76" w:rsidRDefault="009017D9" w:rsidP="00C37A76">
      <w:pPr>
        <w:pStyle w:val="numberedparagraph"/>
      </w:pPr>
      <w:r>
        <w:t>Additionally</w:t>
      </w:r>
      <w:r w:rsidR="00C37A76">
        <w:t>, the amending ITS include minor corrections to references as well as an updated list of Deposit Guarantee Schemes (</w:t>
      </w:r>
      <w:r w:rsidR="00B24A07">
        <w:t>Z 06.00).</w:t>
      </w:r>
    </w:p>
    <w:p w14:paraId="09D44C5E" w14:textId="7B675C9F" w:rsidR="00B24A07" w:rsidRDefault="00B24A07" w:rsidP="00C37A76">
      <w:pPr>
        <w:pStyle w:val="numberedparagraph"/>
      </w:pPr>
      <w:r>
        <w:t xml:space="preserve">In the light of the fact that the amendments are intended to apply for reporting as of 31 December 2021, the amendments introduced by these ITS have been strictly limited to the absolute minimum necessary to re-align these ITS with BRRD2 and remove technical obstacles. </w:t>
      </w:r>
    </w:p>
    <w:p w14:paraId="5481A8C9" w14:textId="41F6A139" w:rsidR="00B24A07" w:rsidRPr="00B24A07" w:rsidRDefault="00B24A07" w:rsidP="00B24A07">
      <w:pPr>
        <w:pStyle w:val="numberedparagraph"/>
      </w:pPr>
      <w:bookmarkStart w:id="10" w:name="_Toc298787969"/>
      <w:bookmarkStart w:id="11" w:name="_Toc298788158"/>
      <w:bookmarkStart w:id="12" w:name="_Toc298788641"/>
      <w:bookmarkStart w:id="13" w:name="_Toc305686691"/>
      <w:bookmarkStart w:id="14" w:name="_Toc306350093"/>
      <w:bookmarkStart w:id="15" w:name="_Toc306350113"/>
      <w:bookmarkStart w:id="16" w:name="_Toc331517265"/>
      <w:bookmarkStart w:id="17" w:name="_Toc245891774"/>
      <w:r>
        <w:t>The EBA plans to undertake a comprehensive review of these ITS that</w:t>
      </w:r>
      <w:r w:rsidR="00657184">
        <w:t xml:space="preserve"> will</w:t>
      </w:r>
      <w:r>
        <w:t xml:space="preserve"> consider the practical experience with reporting, changed user needs </w:t>
      </w:r>
      <w:r w:rsidR="009017D9">
        <w:t>and</w:t>
      </w:r>
      <w:r>
        <w:t xml:space="preserve"> the existence of the ITS on disclosures and reporting in MREL and TLAC </w:t>
      </w:r>
      <w:r w:rsidR="009017D9">
        <w:t>during</w:t>
      </w:r>
      <w:r>
        <w:t xml:space="preserve"> the course of 2021, with a potential application </w:t>
      </w:r>
      <w:r w:rsidR="009017D9">
        <w:t>of</w:t>
      </w:r>
      <w:r>
        <w:t xml:space="preserve"> th</w:t>
      </w:r>
      <w:r w:rsidR="009017D9">
        <w:t>e</w:t>
      </w:r>
      <w:r>
        <w:t xml:space="preserve"> overhauled reporting from 31 December 2022 (reference date). A consultation on the proposals of th</w:t>
      </w:r>
      <w:r w:rsidR="009017D9">
        <w:t>e</w:t>
      </w:r>
      <w:r>
        <w:t xml:space="preserve"> comprehensive review will take place later </w:t>
      </w:r>
      <w:r w:rsidR="00553D6B">
        <w:t>this year</w:t>
      </w:r>
      <w:r>
        <w:t>.</w:t>
      </w:r>
    </w:p>
    <w:p w14:paraId="0D351248" w14:textId="77777777" w:rsidR="00F653FF" w:rsidRDefault="00F653FF" w:rsidP="00F653FF">
      <w:pPr>
        <w:pStyle w:val="numberedparagraph"/>
        <w:numPr>
          <w:ilvl w:val="0"/>
          <w:numId w:val="0"/>
        </w:numPr>
        <w:ind w:left="284" w:hanging="284"/>
      </w:pPr>
    </w:p>
    <w:p w14:paraId="480B1B7D" w14:textId="77777777" w:rsidR="00F653FF" w:rsidRDefault="00F653FF" w:rsidP="00F653FF">
      <w:pPr>
        <w:pStyle w:val="numberedparagraph"/>
        <w:numPr>
          <w:ilvl w:val="0"/>
          <w:numId w:val="0"/>
        </w:numPr>
        <w:ind w:left="284" w:hanging="284"/>
        <w:sectPr w:rsidR="00F653FF" w:rsidSect="00B24A07">
          <w:headerReference w:type="even" r:id="rId8"/>
          <w:headerReference w:type="default" r:id="rId9"/>
          <w:footerReference w:type="even" r:id="rId10"/>
          <w:footerReference w:type="default" r:id="rId11"/>
          <w:headerReference w:type="first" r:id="rId12"/>
          <w:footerReference w:type="first" r:id="rId13"/>
          <w:pgSz w:w="11907" w:h="16839"/>
          <w:pgMar w:top="2268" w:right="1418" w:bottom="1134" w:left="1701" w:header="709" w:footer="709" w:gutter="0"/>
          <w:cols w:space="708"/>
          <w:docGrid w:linePitch="360"/>
        </w:sectPr>
      </w:pPr>
    </w:p>
    <w:p w14:paraId="6D2A6140" w14:textId="77777777" w:rsidR="00B43E07" w:rsidRPr="00A062C7" w:rsidRDefault="00B43E07" w:rsidP="00B43E07">
      <w:pPr>
        <w:pStyle w:val="Numberedtilelevel1"/>
        <w:outlineLvl w:val="0"/>
      </w:pPr>
      <w:bookmarkStart w:id="18" w:name="_Toc71213168"/>
      <w:r w:rsidRPr="003E318D">
        <w:lastRenderedPageBreak/>
        <w:t xml:space="preserve">Draft implementing </w:t>
      </w:r>
      <w:r w:rsidR="007C1797">
        <w:t xml:space="preserve">technical </w:t>
      </w:r>
      <w:r w:rsidRPr="003E318D">
        <w:t>standards</w:t>
      </w:r>
      <w:bookmarkEnd w:id="18"/>
    </w:p>
    <w:p w14:paraId="0DE1C219" w14:textId="77777777" w:rsidR="00B43E07" w:rsidRPr="004D5878" w:rsidRDefault="00B43E07" w:rsidP="00B43E07">
      <w:pPr>
        <w:rPr>
          <w:noProof/>
        </w:rPr>
      </w:pPr>
    </w:p>
    <w:p w14:paraId="28DFF7A6" w14:textId="77777777" w:rsidR="00B43E07" w:rsidRDefault="00B43E07" w:rsidP="00B43E07">
      <w:pPr>
        <w:rPr>
          <w:lang w:val="en-GB"/>
        </w:rPr>
      </w:pPr>
      <w:r>
        <w:rPr>
          <w:lang w:val="en-GB"/>
        </w:rPr>
        <w:br w:type="page"/>
      </w:r>
    </w:p>
    <w:p w14:paraId="332C687B" w14:textId="77777777" w:rsidR="001030C0" w:rsidRDefault="001030C0" w:rsidP="001030C0">
      <w:pPr>
        <w:pStyle w:val="Typedudocument"/>
      </w:pPr>
      <w:r w:rsidRPr="00346B8D">
        <w:lastRenderedPageBreak/>
        <w:t>COMMISSION IMPLEMENTING REGULATION (EU) …/.</w:t>
      </w:r>
      <w:r>
        <w:t>.</w:t>
      </w:r>
      <w:r w:rsidRPr="00346B8D">
        <w:t>.</w:t>
      </w:r>
      <w:r>
        <w:t xml:space="preserve">  </w:t>
      </w:r>
    </w:p>
    <w:p w14:paraId="49B113F8" w14:textId="77777777" w:rsidR="001030C0" w:rsidRPr="00F62F54" w:rsidRDefault="001030C0" w:rsidP="001030C0">
      <w:pPr>
        <w:pStyle w:val="Datedadoption"/>
      </w:pPr>
      <w:r w:rsidRPr="00346B8D">
        <w:t xml:space="preserve">of </w:t>
      </w:r>
      <w:r w:rsidRPr="00346B8D">
        <w:rPr>
          <w:rStyle w:val="Marker2"/>
        </w:rPr>
        <w:t>XXX</w:t>
      </w:r>
    </w:p>
    <w:p w14:paraId="2957F067" w14:textId="77777777" w:rsidR="001030C0" w:rsidRPr="00CB5F6C" w:rsidRDefault="001030C0" w:rsidP="001030C0">
      <w:pPr>
        <w:pStyle w:val="Typedudocument"/>
        <w:rPr>
          <w:noProof/>
          <w:color w:val="000000"/>
        </w:rPr>
      </w:pPr>
      <w:r w:rsidRPr="00CB5F6C">
        <w:rPr>
          <w:noProof/>
          <w:color w:val="000000"/>
        </w:rPr>
        <w:t xml:space="preserve">amending </w:t>
      </w:r>
      <w:r>
        <w:rPr>
          <w:noProof/>
          <w:color w:val="000000"/>
        </w:rPr>
        <w:t>the</w:t>
      </w:r>
      <w:r w:rsidRPr="00CB5F6C">
        <w:rPr>
          <w:noProof/>
          <w:color w:val="000000"/>
        </w:rPr>
        <w:t xml:space="preserve"> implementing technical standards</w:t>
      </w:r>
      <w:r>
        <w:rPr>
          <w:noProof/>
          <w:color w:val="000000"/>
        </w:rPr>
        <w:t xml:space="preserve"> laid down in</w:t>
      </w:r>
      <w:r w:rsidRPr="00CB5F6C">
        <w:rPr>
          <w:noProof/>
          <w:color w:val="000000"/>
        </w:rPr>
        <w:t xml:space="preserve"> Implementing Regulation</w:t>
      </w:r>
      <w:r>
        <w:rPr>
          <w:noProof/>
          <w:color w:val="000000"/>
        </w:rPr>
        <w:t xml:space="preserve"> (EU) 2018/1624 in response to the BRRD2</w:t>
      </w:r>
    </w:p>
    <w:p w14:paraId="2DAE7B0F" w14:textId="77777777" w:rsidR="001030C0" w:rsidRPr="00972854" w:rsidRDefault="001030C0" w:rsidP="001030C0">
      <w:pPr>
        <w:pStyle w:val="Titreobjet"/>
        <w:rPr>
          <w:b w:val="0"/>
        </w:rPr>
      </w:pPr>
      <w:r>
        <w:rPr>
          <w:b w:val="0"/>
        </w:rPr>
        <w:t>(</w:t>
      </w:r>
      <w:r w:rsidRPr="00972854">
        <w:rPr>
          <w:b w:val="0"/>
        </w:rPr>
        <w:t>Text with EEA relevance</w:t>
      </w:r>
      <w:r>
        <w:rPr>
          <w:b w:val="0"/>
        </w:rPr>
        <w:t>)</w:t>
      </w:r>
    </w:p>
    <w:p w14:paraId="19B3A78C" w14:textId="77777777" w:rsidR="001030C0" w:rsidRPr="00F62F54" w:rsidRDefault="001030C0" w:rsidP="001030C0">
      <w:pPr>
        <w:pStyle w:val="Institutionquiagit"/>
      </w:pPr>
      <w:r w:rsidRPr="00F62F54">
        <w:t>THE EUROPEAN COMMISSION,</w:t>
      </w:r>
    </w:p>
    <w:p w14:paraId="1C2F6913" w14:textId="77777777" w:rsidR="001030C0" w:rsidRPr="00F62F54" w:rsidRDefault="001030C0" w:rsidP="001030C0">
      <w:r w:rsidRPr="00F62F54">
        <w:rPr>
          <w:color w:val="000000"/>
        </w:rPr>
        <w:t>Having regard to the Treaty on the Functioning of the European Union</w:t>
      </w:r>
      <w:r w:rsidRPr="00F62F54">
        <w:t>,</w:t>
      </w:r>
    </w:p>
    <w:p w14:paraId="61DEAEC1" w14:textId="77777777" w:rsidR="001030C0" w:rsidRDefault="001030C0" w:rsidP="001030C0">
      <w:r w:rsidRPr="004D5878">
        <w:t xml:space="preserve">Having regard to </w:t>
      </w:r>
      <w:r w:rsidRPr="001030C0">
        <w:t>Directive 2014/59/EU of the European Parliament and of the Council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rsidRPr="00142CA4">
        <w:rPr>
          <w:rStyle w:val="FootnoteReference"/>
          <w:noProof/>
          <w:color w:val="000000"/>
        </w:rPr>
        <w:footnoteReference w:id="2"/>
      </w:r>
      <w:r>
        <w:rPr>
          <w:noProof/>
          <w:color w:val="000000"/>
        </w:rPr>
        <w:t>,</w:t>
      </w:r>
      <w:r w:rsidRPr="004D5878">
        <w:t xml:space="preserve"> and in particular </w:t>
      </w:r>
      <w:r w:rsidRPr="001030C0">
        <w:t>Article 11(3) thereof</w:t>
      </w:r>
      <w:r>
        <w:t>,</w:t>
      </w:r>
    </w:p>
    <w:p w14:paraId="36E30C70" w14:textId="77777777" w:rsidR="001030C0" w:rsidRPr="004641C1" w:rsidRDefault="001030C0" w:rsidP="001030C0"/>
    <w:p w14:paraId="3F60F4DC" w14:textId="77777777" w:rsidR="001030C0" w:rsidRPr="004641C1" w:rsidRDefault="001030C0" w:rsidP="001030C0">
      <w:r w:rsidRPr="004641C1">
        <w:t>Whereas:</w:t>
      </w:r>
    </w:p>
    <w:p w14:paraId="059E8367" w14:textId="77777777" w:rsidR="001030C0" w:rsidRPr="001030C0" w:rsidRDefault="001030C0" w:rsidP="001030C0">
      <w:pPr>
        <w:pStyle w:val="Considrant"/>
        <w:numPr>
          <w:ilvl w:val="0"/>
          <w:numId w:val="30"/>
        </w:numPr>
        <w:rPr>
          <w:noProof/>
        </w:rPr>
      </w:pPr>
      <w:r w:rsidRPr="001030C0">
        <w:rPr>
          <w:noProof/>
        </w:rPr>
        <w:t>D</w:t>
      </w:r>
      <w:r>
        <w:rPr>
          <w:noProof/>
        </w:rPr>
        <w:t xml:space="preserve">irective </w:t>
      </w:r>
      <w:r w:rsidRPr="001030C0">
        <w:rPr>
          <w:noProof/>
        </w:rPr>
        <w:t xml:space="preserve">(EU) 2019/879 </w:t>
      </w:r>
      <w:r>
        <w:rPr>
          <w:noProof/>
        </w:rPr>
        <w:t xml:space="preserve">of the European Parliament and of the council introduced certain amendments to the minimum requirement </w:t>
      </w:r>
      <w:r w:rsidRPr="001030C0">
        <w:rPr>
          <w:noProof/>
        </w:rPr>
        <w:t xml:space="preserve">for own funds and eligible liabilities </w:t>
      </w:r>
      <w:r>
        <w:rPr>
          <w:noProof/>
        </w:rPr>
        <w:t xml:space="preserve">laid down in Directive 2014/59/EU. </w:t>
      </w:r>
      <w:r w:rsidR="00B515BF">
        <w:rPr>
          <w:noProof/>
        </w:rPr>
        <w:t>Information on institutions’ capacity to meet this requirement is, to a limited extent, also considered in the context of resolution planning.</w:t>
      </w:r>
    </w:p>
    <w:p w14:paraId="2D23B3FA" w14:textId="77777777" w:rsidR="001030C0" w:rsidRPr="00B61F4B" w:rsidRDefault="001030C0" w:rsidP="00B515BF">
      <w:pPr>
        <w:pStyle w:val="Considrant"/>
        <w:numPr>
          <w:ilvl w:val="0"/>
          <w:numId w:val="30"/>
        </w:numPr>
        <w:rPr>
          <w:noProof/>
        </w:rPr>
      </w:pPr>
      <w:r>
        <w:rPr>
          <w:noProof/>
        </w:rPr>
        <w:t>Implementing Regulation (EU) 2018/1624 should therefore be amended accordingly.</w:t>
      </w:r>
    </w:p>
    <w:p w14:paraId="4DBC4214" w14:textId="77777777" w:rsidR="001030C0" w:rsidRDefault="001030C0" w:rsidP="00B515BF">
      <w:pPr>
        <w:pStyle w:val="Considrant"/>
        <w:numPr>
          <w:ilvl w:val="0"/>
          <w:numId w:val="30"/>
        </w:numPr>
        <w:rPr>
          <w:noProof/>
        </w:rPr>
      </w:pPr>
      <w:r w:rsidRPr="004641C1">
        <w:rPr>
          <w:noProof/>
        </w:rPr>
        <w:t xml:space="preserve">This Regulation is based on the draft implementing technical standards submitted </w:t>
      </w:r>
      <w:r>
        <w:rPr>
          <w:noProof/>
        </w:rPr>
        <w:t>to the Commission</w:t>
      </w:r>
      <w:r w:rsidRPr="004641C1">
        <w:rPr>
          <w:noProof/>
        </w:rPr>
        <w:t xml:space="preserve"> by the </w:t>
      </w:r>
      <w:r w:rsidRPr="00142CA4">
        <w:rPr>
          <w:noProof/>
        </w:rPr>
        <w:t>European Banking</w:t>
      </w:r>
      <w:r>
        <w:rPr>
          <w:noProof/>
        </w:rPr>
        <w:t xml:space="preserve"> Authority. </w:t>
      </w:r>
    </w:p>
    <w:p w14:paraId="4A3FE550" w14:textId="77777777" w:rsidR="001030C0" w:rsidRDefault="001030C0" w:rsidP="00B515BF">
      <w:pPr>
        <w:pStyle w:val="Considrant"/>
        <w:numPr>
          <w:ilvl w:val="0"/>
          <w:numId w:val="30"/>
        </w:numPr>
        <w:rPr>
          <w:noProof/>
        </w:rPr>
      </w:pPr>
      <w:r w:rsidRPr="004C0193">
        <w:rPr>
          <w:noProof/>
        </w:rPr>
        <w:t>The European Banking Authority</w:t>
      </w:r>
      <w:r w:rsidR="00B515BF">
        <w:rPr>
          <w:noProof/>
        </w:rPr>
        <w:t xml:space="preserve"> did not </w:t>
      </w:r>
      <w:r w:rsidRPr="004C0193">
        <w:rPr>
          <w:noProof/>
        </w:rPr>
        <w:t>conduct</w:t>
      </w:r>
      <w:r w:rsidR="00B515BF">
        <w:rPr>
          <w:noProof/>
        </w:rPr>
        <w:t xml:space="preserve"> an</w:t>
      </w:r>
      <w:r w:rsidRPr="004C0193">
        <w:rPr>
          <w:noProof/>
        </w:rPr>
        <w:t xml:space="preserve"> open public consultations on the draft implementing technical standards on which </w:t>
      </w:r>
      <w:r w:rsidR="00B515BF">
        <w:rPr>
          <w:noProof/>
        </w:rPr>
        <w:t xml:space="preserve">this Regulation is based and did not </w:t>
      </w:r>
      <w:r w:rsidRPr="004C0193">
        <w:rPr>
          <w:noProof/>
        </w:rPr>
        <w:t>analyse</w:t>
      </w:r>
      <w:r w:rsidR="00B515BF">
        <w:rPr>
          <w:noProof/>
        </w:rPr>
        <w:t xml:space="preserve"> </w:t>
      </w:r>
      <w:r w:rsidRPr="004C0193">
        <w:rPr>
          <w:noProof/>
        </w:rPr>
        <w:t>the potential related costs and benefits</w:t>
      </w:r>
      <w:r w:rsidR="00B515BF">
        <w:rPr>
          <w:noProof/>
        </w:rPr>
        <w:t>, as it considered such a consultation and analysis</w:t>
      </w:r>
      <w:r w:rsidRPr="004C0193">
        <w:rPr>
          <w:noProof/>
        </w:rPr>
        <w:t xml:space="preserve"> </w:t>
      </w:r>
      <w:r w:rsidR="00B515BF" w:rsidRPr="00B515BF">
        <w:rPr>
          <w:noProof/>
        </w:rPr>
        <w:t xml:space="preserve">highly disproportionate in relation to the </w:t>
      </w:r>
      <w:r w:rsidR="00B515BF">
        <w:rPr>
          <w:noProof/>
        </w:rPr>
        <w:t xml:space="preserve">very limited </w:t>
      </w:r>
      <w:r w:rsidR="00B515BF" w:rsidRPr="00B515BF">
        <w:rPr>
          <w:noProof/>
        </w:rPr>
        <w:t>scope</w:t>
      </w:r>
      <w:r w:rsidR="00B515BF">
        <w:rPr>
          <w:noProof/>
        </w:rPr>
        <w:t>, low number</w:t>
      </w:r>
      <w:r w:rsidR="00B515BF" w:rsidRPr="00B515BF">
        <w:rPr>
          <w:noProof/>
        </w:rPr>
        <w:t xml:space="preserve"> and</w:t>
      </w:r>
      <w:r w:rsidR="00B515BF">
        <w:rPr>
          <w:noProof/>
        </w:rPr>
        <w:t xml:space="preserve"> low</w:t>
      </w:r>
      <w:r w:rsidR="00B515BF" w:rsidRPr="00B515BF">
        <w:rPr>
          <w:noProof/>
        </w:rPr>
        <w:t xml:space="preserve"> impact of the </w:t>
      </w:r>
      <w:r w:rsidR="00B515BF">
        <w:rPr>
          <w:noProof/>
        </w:rPr>
        <w:t xml:space="preserve">amendments. Those amendments include updates of references to the amended </w:t>
      </w:r>
      <w:r w:rsidR="00B515BF" w:rsidRPr="001030C0">
        <w:t>Directive 2014/59/EU</w:t>
      </w:r>
      <w:r w:rsidR="00945F72">
        <w:t xml:space="preserve">, </w:t>
      </w:r>
      <w:r w:rsidR="00B515BF">
        <w:t>two new items to be reported</w:t>
      </w:r>
      <w:r w:rsidR="00945F72">
        <w:t xml:space="preserve"> and minor amendments to remove technical obstacles to the reporting</w:t>
      </w:r>
      <w:r w:rsidR="00B515BF">
        <w:t xml:space="preserve">. The EBA </w:t>
      </w:r>
      <w:r w:rsidRPr="004C0193">
        <w:rPr>
          <w:noProof/>
        </w:rPr>
        <w:t xml:space="preserve">requested the </w:t>
      </w:r>
      <w:r w:rsidRPr="00E447B2">
        <w:rPr>
          <w:noProof/>
        </w:rPr>
        <w:t>advice</w:t>
      </w:r>
      <w:r w:rsidRPr="004C0193">
        <w:rPr>
          <w:noProof/>
        </w:rPr>
        <w:t xml:space="preserve"> of the </w:t>
      </w:r>
      <w:r w:rsidR="00B515BF">
        <w:rPr>
          <w:noProof/>
        </w:rPr>
        <w:t xml:space="preserve">Banking </w:t>
      </w:r>
      <w:r w:rsidRPr="004641C1">
        <w:rPr>
          <w:noProof/>
        </w:rPr>
        <w:t xml:space="preserve">Stakeholder Group </w:t>
      </w:r>
      <w:r w:rsidRPr="004C0193">
        <w:rPr>
          <w:noProof/>
        </w:rPr>
        <w:t xml:space="preserve">established </w:t>
      </w:r>
      <w:r>
        <w:rPr>
          <w:noProof/>
        </w:rPr>
        <w:t>in accordance with</w:t>
      </w:r>
      <w:r w:rsidRPr="004C0193">
        <w:rPr>
          <w:noProof/>
        </w:rPr>
        <w:t xml:space="preserve"> Article 37 </w:t>
      </w:r>
      <w:r>
        <w:rPr>
          <w:noProof/>
        </w:rPr>
        <w:t>of Regulation (EU) No 109</w:t>
      </w:r>
      <w:r w:rsidR="00945F72">
        <w:rPr>
          <w:noProof/>
        </w:rPr>
        <w:t>3</w:t>
      </w:r>
      <w:r>
        <w:rPr>
          <w:noProof/>
        </w:rPr>
        <w:t>/2010</w:t>
      </w:r>
      <w:r w:rsidRPr="001030C0">
        <w:rPr>
          <w:noProof/>
        </w:rPr>
        <w:t xml:space="preserve"> of the European Parliament and of the Council</w:t>
      </w:r>
      <w:r w:rsidRPr="00945F72">
        <w:rPr>
          <w:noProof/>
          <w:vertAlign w:val="superscript"/>
        </w:rPr>
        <w:footnoteReference w:id="3"/>
      </w:r>
      <w:r w:rsidR="00945F72">
        <w:rPr>
          <w:noProof/>
        </w:rPr>
        <w:t>,</w:t>
      </w:r>
    </w:p>
    <w:p w14:paraId="104D050F" w14:textId="77777777" w:rsidR="001030C0" w:rsidRPr="00F62F54" w:rsidRDefault="001030C0" w:rsidP="001030C0">
      <w:pPr>
        <w:pStyle w:val="Formuledadoption"/>
      </w:pPr>
      <w:r w:rsidRPr="00F62F54">
        <w:lastRenderedPageBreak/>
        <w:t>HAS ADOPTED THIS REGULATION:</w:t>
      </w:r>
    </w:p>
    <w:p w14:paraId="75C7BF80" w14:textId="77777777" w:rsidR="001030C0" w:rsidRPr="00945F72" w:rsidRDefault="001030C0" w:rsidP="00945F72">
      <w:pPr>
        <w:pStyle w:val="Titrearticle"/>
      </w:pPr>
      <w:r w:rsidRPr="00945F72">
        <w:t xml:space="preserve">Article </w:t>
      </w:r>
      <w:r w:rsidR="00945F72" w:rsidRPr="00945F72">
        <w:t>1</w:t>
      </w:r>
      <w:r w:rsidRPr="00945F72">
        <w:t xml:space="preserve"> </w:t>
      </w:r>
    </w:p>
    <w:p w14:paraId="0B0A9467" w14:textId="77777777" w:rsidR="001030C0" w:rsidRDefault="001030C0" w:rsidP="001030C0">
      <w:pPr>
        <w:rPr>
          <w:noProof/>
        </w:rPr>
      </w:pPr>
      <w:r>
        <w:rPr>
          <w:noProof/>
        </w:rPr>
        <w:t>Implementing</w:t>
      </w:r>
      <w:r w:rsidRPr="003C5B12">
        <w:rPr>
          <w:noProof/>
        </w:rPr>
        <w:t xml:space="preserve"> Regulation</w:t>
      </w:r>
      <w:r w:rsidR="00945F72">
        <w:rPr>
          <w:noProof/>
        </w:rPr>
        <w:t xml:space="preserve"> (EU) 2018/1624 </w:t>
      </w:r>
      <w:r w:rsidRPr="003C5B12">
        <w:rPr>
          <w:noProof/>
        </w:rPr>
        <w:t>is amended as follows:</w:t>
      </w:r>
    </w:p>
    <w:p w14:paraId="2FEBF37C" w14:textId="77777777" w:rsidR="001030C0" w:rsidRDefault="001030C0" w:rsidP="001030C0">
      <w:pPr>
        <w:rPr>
          <w:noProof/>
        </w:rPr>
      </w:pPr>
      <w:r w:rsidRPr="003C5B12">
        <w:rPr>
          <w:noProof/>
        </w:rPr>
        <w:t>(</w:t>
      </w:r>
      <w:r w:rsidR="00945F72">
        <w:rPr>
          <w:noProof/>
        </w:rPr>
        <w:t>1</w:t>
      </w:r>
      <w:r w:rsidRPr="003C5B12">
        <w:rPr>
          <w:noProof/>
        </w:rPr>
        <w:t>)</w:t>
      </w:r>
      <w:r>
        <w:rPr>
          <w:noProof/>
        </w:rPr>
        <w:tab/>
      </w:r>
      <w:r w:rsidR="00945F72">
        <w:rPr>
          <w:noProof/>
        </w:rPr>
        <w:t xml:space="preserve">Template Z 02.00 of Annex I </w:t>
      </w:r>
      <w:r w:rsidRPr="003C5B12">
        <w:rPr>
          <w:noProof/>
        </w:rPr>
        <w:t xml:space="preserve">is replaced by </w:t>
      </w:r>
      <w:r w:rsidR="00945F72">
        <w:rPr>
          <w:noProof/>
        </w:rPr>
        <w:t xml:space="preserve">template Z 02.00 of </w:t>
      </w:r>
      <w:r w:rsidRPr="003C5B12">
        <w:rPr>
          <w:noProof/>
        </w:rPr>
        <w:t>Annex</w:t>
      </w:r>
      <w:r w:rsidR="00945F72">
        <w:rPr>
          <w:noProof/>
        </w:rPr>
        <w:t xml:space="preserve"> I</w:t>
      </w:r>
      <w:r w:rsidRPr="003C5B12">
        <w:rPr>
          <w:noProof/>
        </w:rPr>
        <w:t xml:space="preserve"> to this Regulation</w:t>
      </w:r>
      <w:r>
        <w:rPr>
          <w:noProof/>
        </w:rPr>
        <w:t>.</w:t>
      </w:r>
    </w:p>
    <w:p w14:paraId="09E89B24" w14:textId="77777777" w:rsidR="00945F72" w:rsidRDefault="00945F72" w:rsidP="001030C0">
      <w:pPr>
        <w:rPr>
          <w:noProof/>
        </w:rPr>
      </w:pPr>
      <w:r w:rsidRPr="003C5B12">
        <w:rPr>
          <w:noProof/>
        </w:rPr>
        <w:t>(</w:t>
      </w:r>
      <w:r>
        <w:rPr>
          <w:noProof/>
        </w:rPr>
        <w:t>2</w:t>
      </w:r>
      <w:r w:rsidRPr="003C5B12">
        <w:rPr>
          <w:noProof/>
        </w:rPr>
        <w:t>)</w:t>
      </w:r>
      <w:r>
        <w:rPr>
          <w:noProof/>
        </w:rPr>
        <w:tab/>
        <w:t xml:space="preserve">Template Z 03.00 of Annex I </w:t>
      </w:r>
      <w:r w:rsidRPr="003C5B12">
        <w:rPr>
          <w:noProof/>
        </w:rPr>
        <w:t xml:space="preserve">is replaced by </w:t>
      </w:r>
      <w:r>
        <w:rPr>
          <w:noProof/>
        </w:rPr>
        <w:t xml:space="preserve">template Z 03.00 of </w:t>
      </w:r>
      <w:r w:rsidRPr="003C5B12">
        <w:rPr>
          <w:noProof/>
        </w:rPr>
        <w:t>Annex</w:t>
      </w:r>
      <w:r>
        <w:rPr>
          <w:noProof/>
        </w:rPr>
        <w:t xml:space="preserve"> I</w:t>
      </w:r>
      <w:r w:rsidRPr="003C5B12">
        <w:rPr>
          <w:noProof/>
        </w:rPr>
        <w:t xml:space="preserve"> to this Regulation</w:t>
      </w:r>
      <w:r>
        <w:rPr>
          <w:noProof/>
        </w:rPr>
        <w:t>.</w:t>
      </w:r>
    </w:p>
    <w:p w14:paraId="3B94654E" w14:textId="77777777" w:rsidR="00945F72" w:rsidRDefault="00945F72" w:rsidP="001030C0">
      <w:pPr>
        <w:rPr>
          <w:noProof/>
        </w:rPr>
      </w:pPr>
      <w:r w:rsidRPr="003C5B12">
        <w:rPr>
          <w:noProof/>
        </w:rPr>
        <w:t>(</w:t>
      </w:r>
      <w:r>
        <w:rPr>
          <w:noProof/>
        </w:rPr>
        <w:t>3</w:t>
      </w:r>
      <w:r w:rsidRPr="003C5B12">
        <w:rPr>
          <w:noProof/>
        </w:rPr>
        <w:t>)</w:t>
      </w:r>
      <w:r>
        <w:rPr>
          <w:noProof/>
        </w:rPr>
        <w:tab/>
        <w:t xml:space="preserve">Annex II </w:t>
      </w:r>
      <w:r w:rsidRPr="003C5B12">
        <w:rPr>
          <w:noProof/>
        </w:rPr>
        <w:t xml:space="preserve">is replaced by </w:t>
      </w:r>
      <w:r>
        <w:rPr>
          <w:noProof/>
        </w:rPr>
        <w:t xml:space="preserve">Annex II to </w:t>
      </w:r>
      <w:r w:rsidRPr="003C5B12">
        <w:rPr>
          <w:noProof/>
        </w:rPr>
        <w:t>this Regulation</w:t>
      </w:r>
      <w:r>
        <w:rPr>
          <w:noProof/>
        </w:rPr>
        <w:t>.</w:t>
      </w:r>
    </w:p>
    <w:p w14:paraId="46FF4823" w14:textId="77777777" w:rsidR="001030C0" w:rsidRPr="00C9712F" w:rsidRDefault="001030C0" w:rsidP="001030C0">
      <w:pPr>
        <w:pStyle w:val="Titrearticle"/>
      </w:pPr>
      <w:r w:rsidRPr="00F62F54">
        <w:t xml:space="preserve">Article </w:t>
      </w:r>
      <w:r w:rsidR="00945F72">
        <w:t>2</w:t>
      </w:r>
    </w:p>
    <w:p w14:paraId="4A7F48A5" w14:textId="77777777" w:rsidR="001030C0" w:rsidRPr="001F34B5" w:rsidRDefault="001030C0" w:rsidP="00945F72">
      <w:pPr>
        <w:rPr>
          <w:noProof/>
          <w:color w:val="000000"/>
        </w:rPr>
      </w:pPr>
      <w:r w:rsidRPr="00142CA4">
        <w:rPr>
          <w:noProof/>
          <w:color w:val="000000"/>
        </w:rPr>
        <w:t xml:space="preserve">This Regulation shall enter into force on the </w:t>
      </w:r>
      <w:r>
        <w:rPr>
          <w:noProof/>
          <w:color w:val="000000"/>
        </w:rPr>
        <w:t xml:space="preserve">twentieth </w:t>
      </w:r>
      <w:r w:rsidRPr="00142CA4">
        <w:rPr>
          <w:noProof/>
          <w:color w:val="000000"/>
        </w:rPr>
        <w:t xml:space="preserve">day following that of its publication in the </w:t>
      </w:r>
      <w:r w:rsidRPr="00142CA4">
        <w:rPr>
          <w:i/>
          <w:noProof/>
          <w:color w:val="000000"/>
        </w:rPr>
        <w:t>Official Journal of the European Union</w:t>
      </w:r>
      <w:r w:rsidRPr="00142CA4">
        <w:rPr>
          <w:noProof/>
          <w:color w:val="000000"/>
        </w:rPr>
        <w:t>.</w:t>
      </w:r>
    </w:p>
    <w:p w14:paraId="1012CB4B" w14:textId="77777777" w:rsidR="001030C0" w:rsidRDefault="001030C0" w:rsidP="001030C0">
      <w:pPr>
        <w:pStyle w:val="Applicationdirecte"/>
      </w:pPr>
      <w:r w:rsidRPr="00F62F54">
        <w:t xml:space="preserve">This Regulation shall be </w:t>
      </w:r>
      <w:r w:rsidRPr="00854910">
        <w:t>binding in its entirety and directly applicable in all Member States.</w:t>
      </w:r>
    </w:p>
    <w:p w14:paraId="3C0DBE8F" w14:textId="77777777" w:rsidR="001030C0" w:rsidRDefault="001030C0" w:rsidP="001030C0">
      <w:pPr>
        <w:pStyle w:val="Applicationdirecte"/>
      </w:pPr>
      <w:r w:rsidRPr="00346B8D">
        <w:t xml:space="preserve">Done at Brussels, </w:t>
      </w:r>
    </w:p>
    <w:p w14:paraId="76544445" w14:textId="77777777" w:rsidR="001030C0" w:rsidRDefault="001030C0" w:rsidP="001030C0">
      <w:pPr>
        <w:pStyle w:val="Institutionquisigne"/>
      </w:pPr>
      <w:r w:rsidRPr="004D5878">
        <w:tab/>
        <w:t>For the Commission</w:t>
      </w:r>
    </w:p>
    <w:p w14:paraId="19CC007B" w14:textId="77777777" w:rsidR="001030C0" w:rsidRPr="006E63CD" w:rsidRDefault="001030C0" w:rsidP="001030C0">
      <w:pPr>
        <w:pStyle w:val="Personnequisigne"/>
      </w:pPr>
      <w:r w:rsidRPr="004D5878">
        <w:tab/>
        <w:t>The President</w:t>
      </w:r>
      <w:r w:rsidRPr="004D5878">
        <w:br/>
      </w:r>
      <w:r w:rsidRPr="004D5878">
        <w:tab/>
      </w:r>
      <w:r w:rsidRPr="004D5878">
        <w:br/>
      </w:r>
      <w:r w:rsidRPr="004D5878">
        <w:tab/>
      </w:r>
      <w:r w:rsidRPr="004D5878">
        <w:br/>
      </w:r>
      <w:r w:rsidRPr="004D5878">
        <w:tab/>
        <w:t>On behalf of the President</w:t>
      </w:r>
      <w:r w:rsidRPr="004D5878">
        <w:br/>
      </w:r>
      <w:r w:rsidRPr="004D5878">
        <w:tab/>
      </w:r>
      <w:r w:rsidRPr="004D5878">
        <w:br/>
      </w:r>
      <w:r w:rsidRPr="004D5878">
        <w:tab/>
      </w:r>
      <w:r w:rsidRPr="006E63CD">
        <w:t>[Position]</w:t>
      </w:r>
    </w:p>
    <w:p w14:paraId="423B3A70" w14:textId="346D0C13" w:rsidR="001030C0" w:rsidRDefault="001030C0" w:rsidP="001030C0">
      <w:pPr>
        <w:pStyle w:val="Annexetitre"/>
        <w:rPr>
          <w:noProof/>
        </w:rPr>
      </w:pPr>
      <w:r w:rsidRPr="006E63CD">
        <w:br w:type="page"/>
      </w:r>
      <w:r>
        <w:rPr>
          <w:noProof/>
        </w:rPr>
        <w:lastRenderedPageBreak/>
        <w:t>ANNEX</w:t>
      </w:r>
      <w:r w:rsidR="00C26D36">
        <w:rPr>
          <w:noProof/>
        </w:rPr>
        <w:t>ES</w:t>
      </w:r>
    </w:p>
    <w:p w14:paraId="753DA6A9" w14:textId="77777777" w:rsidR="00945F72" w:rsidRDefault="00945F72" w:rsidP="001030C0">
      <w:pPr>
        <w:rPr>
          <w:i/>
          <w:noProof/>
          <w:color w:val="000000"/>
        </w:rPr>
      </w:pPr>
      <w:r w:rsidRPr="00945F72">
        <w:rPr>
          <w:i/>
          <w:noProof/>
          <w:color w:val="000000"/>
        </w:rPr>
        <w:t>Please see separate files</w:t>
      </w:r>
      <w:r>
        <w:rPr>
          <w:i/>
          <w:noProof/>
          <w:color w:val="000000"/>
        </w:rPr>
        <w:t>:</w:t>
      </w:r>
    </w:p>
    <w:p w14:paraId="592FA8A4" w14:textId="77777777" w:rsidR="00945F72" w:rsidRPr="00945F72" w:rsidRDefault="00945F72" w:rsidP="001030C0">
      <w:pPr>
        <w:rPr>
          <w:noProof/>
        </w:rPr>
      </w:pPr>
      <w:r w:rsidRPr="00945F72">
        <w:rPr>
          <w:noProof/>
        </w:rPr>
        <w:t>Annex I – Templates</w:t>
      </w:r>
    </w:p>
    <w:p w14:paraId="1465702D" w14:textId="77777777" w:rsidR="00945F72" w:rsidRPr="00945F72" w:rsidRDefault="00945F72" w:rsidP="001030C0">
      <w:pPr>
        <w:rPr>
          <w:noProof/>
        </w:rPr>
      </w:pPr>
      <w:r w:rsidRPr="00945F72">
        <w:rPr>
          <w:noProof/>
        </w:rPr>
        <w:t>Annex II - Instructions</w:t>
      </w:r>
    </w:p>
    <w:p w14:paraId="128D2499" w14:textId="77777777" w:rsidR="00B43E07" w:rsidRPr="00A725D6" w:rsidRDefault="00B43E07" w:rsidP="00B43E07">
      <w:pPr>
        <w:rPr>
          <w:lang w:val="en-GB"/>
        </w:rPr>
      </w:pPr>
      <w:bookmarkStart w:id="19" w:name="_CopyToNewDocument_"/>
      <w:bookmarkEnd w:id="19"/>
    </w:p>
    <w:bookmarkEnd w:id="10"/>
    <w:bookmarkEnd w:id="11"/>
    <w:bookmarkEnd w:id="12"/>
    <w:bookmarkEnd w:id="13"/>
    <w:bookmarkEnd w:id="14"/>
    <w:bookmarkEnd w:id="15"/>
    <w:bookmarkEnd w:id="16"/>
    <w:bookmarkEnd w:id="17"/>
    <w:p w14:paraId="7ABAEEBD" w14:textId="606AECD0" w:rsidR="00FE0C92" w:rsidRPr="009A4CC8" w:rsidRDefault="00FE0C92" w:rsidP="00CF25F0">
      <w:pPr>
        <w:pStyle w:val="Numberedtitlelevel2"/>
        <w:outlineLvl w:val="1"/>
        <w:rPr>
          <w:lang w:val="en-GB"/>
        </w:rPr>
      </w:pPr>
      <w:r w:rsidRPr="009A4CC8">
        <w:rPr>
          <w:lang w:val="en-GB"/>
        </w:rPr>
        <w:br w:type="page"/>
      </w:r>
    </w:p>
    <w:bookmarkEnd w:id="8"/>
    <w:bookmarkEnd w:id="9"/>
    <w:p w14:paraId="7065B288" w14:textId="77777777" w:rsidR="00FE0C92" w:rsidRPr="00EF35BF" w:rsidRDefault="00FE0C92" w:rsidP="00945F72">
      <w:pPr>
        <w:tabs>
          <w:tab w:val="left" w:pos="1430"/>
        </w:tabs>
        <w:rPr>
          <w:lang w:val="en-GB"/>
        </w:rPr>
      </w:pPr>
    </w:p>
    <w:sectPr w:rsidR="00FE0C92" w:rsidRPr="00EF35BF" w:rsidSect="000F33D3">
      <w:headerReference w:type="even" r:id="rId14"/>
      <w:headerReference w:type="default" r:id="rId15"/>
      <w:footerReference w:type="even" r:id="rId16"/>
      <w:footerReference w:type="default" r:id="rId17"/>
      <w:headerReference w:type="first" r:id="rId18"/>
      <w:footerReference w:type="first" r:id="rId19"/>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E4FDA" w14:textId="77777777" w:rsidR="00C37A76" w:rsidRDefault="00C37A76" w:rsidP="00A00E34">
      <w:r>
        <w:separator/>
      </w:r>
    </w:p>
    <w:p w14:paraId="7EFA2154" w14:textId="77777777" w:rsidR="00C37A76" w:rsidRDefault="00C37A76"/>
  </w:endnote>
  <w:endnote w:type="continuationSeparator" w:id="0">
    <w:p w14:paraId="3A08DC25" w14:textId="77777777" w:rsidR="00C37A76" w:rsidRDefault="00C37A76" w:rsidP="00A00E34">
      <w:r>
        <w:continuationSeparator/>
      </w:r>
    </w:p>
    <w:p w14:paraId="00F24E36" w14:textId="77777777" w:rsidR="00C37A76" w:rsidRDefault="00C37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99561" w14:textId="77777777" w:rsidR="0035136D" w:rsidRDefault="003513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5699B" w14:textId="77777777" w:rsidR="0035136D" w:rsidRDefault="003513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0F7FB" w14:textId="77777777" w:rsidR="0035136D" w:rsidRDefault="003513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CFCCE" w14:textId="77777777" w:rsidR="00C37A76" w:rsidRDefault="00C37A7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2B4E30" w14:textId="77777777" w:rsidR="00C37A76" w:rsidRDefault="00C37A76"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2B9E6" w14:textId="44F9EAD8" w:rsidR="00C37A76" w:rsidRDefault="00C37A7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0CEE">
      <w:rPr>
        <w:rStyle w:val="PageNumber"/>
        <w:noProof/>
      </w:rPr>
      <w:t>5</w:t>
    </w:r>
    <w:r>
      <w:rPr>
        <w:rStyle w:val="PageNumber"/>
      </w:rPr>
      <w:fldChar w:fldCharType="end"/>
    </w:r>
  </w:p>
  <w:p w14:paraId="74226499" w14:textId="77777777" w:rsidR="00C37A76" w:rsidRDefault="00C37A76" w:rsidP="00610305">
    <w:pPr>
      <w:pStyle w:val="Footer"/>
      <w:ind w:right="360"/>
    </w:pPr>
    <w:r>
      <w:rPr>
        <w:noProof/>
      </w:rPr>
      <mc:AlternateContent>
        <mc:Choice Requires="wps">
          <w:drawing>
            <wp:anchor distT="4294967295" distB="4294967295" distL="114300" distR="114300" simplePos="0" relativeHeight="251657728" behindDoc="1" locked="1" layoutInCell="1" allowOverlap="1" wp14:anchorId="4A363D81" wp14:editId="1DE26AD0">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BD0796" id="Straight Connector 10"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1A8C8" w14:textId="77777777" w:rsidR="00C37A76" w:rsidRDefault="00C37A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09EFA" w14:textId="77777777" w:rsidR="00C37A76" w:rsidRPr="00DB5E8F" w:rsidRDefault="00C37A76">
      <w:pPr>
        <w:rPr>
          <w:sz w:val="12"/>
          <w:szCs w:val="12"/>
        </w:rPr>
      </w:pPr>
      <w:r w:rsidRPr="00DB5E8F">
        <w:rPr>
          <w:sz w:val="12"/>
          <w:szCs w:val="12"/>
        </w:rPr>
        <w:separator/>
      </w:r>
    </w:p>
  </w:footnote>
  <w:footnote w:type="continuationSeparator" w:id="0">
    <w:p w14:paraId="2B345AEC" w14:textId="77777777" w:rsidR="00C37A76" w:rsidRDefault="00C37A76" w:rsidP="00A00E34">
      <w:r>
        <w:continuationSeparator/>
      </w:r>
    </w:p>
    <w:p w14:paraId="1290CBC1" w14:textId="77777777" w:rsidR="00C37A76" w:rsidRDefault="00C37A76"/>
  </w:footnote>
  <w:footnote w:type="continuationNotice" w:id="1">
    <w:p w14:paraId="1841D7D0" w14:textId="77777777" w:rsidR="00C37A76" w:rsidRDefault="00C37A76"/>
  </w:footnote>
  <w:footnote w:id="2">
    <w:p w14:paraId="7A9B5ADD" w14:textId="77777777" w:rsidR="00C37A76" w:rsidRDefault="00C37A76" w:rsidP="001030C0">
      <w:pPr>
        <w:pStyle w:val="FootnoteText"/>
      </w:pPr>
      <w:r w:rsidRPr="00D92E0A">
        <w:rPr>
          <w:rStyle w:val="FootnoteReference"/>
        </w:rPr>
        <w:footnoteRef/>
      </w:r>
      <w:r>
        <w:tab/>
      </w:r>
      <w:r w:rsidRPr="001030C0">
        <w:t>OJ L 173, 12.6.2014, p. 190.</w:t>
      </w:r>
    </w:p>
  </w:footnote>
  <w:footnote w:id="3">
    <w:p w14:paraId="34F9C639" w14:textId="2D806A08" w:rsidR="00C37A76" w:rsidRPr="00B64E68" w:rsidRDefault="00C37A76" w:rsidP="001030C0">
      <w:pPr>
        <w:pStyle w:val="FootnoteText"/>
        <w:rPr>
          <w:lang w:val="mt-MT"/>
        </w:rPr>
      </w:pPr>
      <w:r>
        <w:rPr>
          <w:rStyle w:val="FootnoteReference"/>
        </w:rPr>
        <w:footnoteRef/>
      </w:r>
      <w:r>
        <w:t xml:space="preserve"> </w:t>
      </w:r>
      <w:r>
        <w:rPr>
          <w:lang w:val="mt-MT"/>
        </w:rPr>
        <w:tab/>
      </w:r>
      <w:r w:rsidR="009017D9" w:rsidRPr="009017D9">
        <w:rPr>
          <w:noProof/>
        </w:rPr>
        <w:t>Regulation (EU) No 1093/2010 of the European Parliament and of the Council of 24 November 2010 establishing a European Supervisory Authority (European Banking Authority), amending Decision No 716/2009/EC and repealing Commission Decision 2009/78/EC</w:t>
      </w:r>
      <w:r w:rsidR="009017D9">
        <w:rPr>
          <w:noProof/>
        </w:rPr>
        <w:t xml:space="preserve"> (</w:t>
      </w:r>
      <w:r w:rsidR="009017D9" w:rsidRPr="009017D9">
        <w:rPr>
          <w:noProof/>
        </w:rPr>
        <w:t>OJ L 331, 15.12.2010, p. 12–47</w:t>
      </w:r>
      <w:r w:rsidR="009017D9">
        <w:rPr>
          <w:noProo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A2B50" w14:textId="77777777" w:rsidR="0035136D" w:rsidRDefault="00351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1F090" w14:textId="2D93E2E5" w:rsidR="00C37A76" w:rsidRDefault="00C37A76" w:rsidP="001030C0">
    <w:pPr>
      <w:pStyle w:val="Runningtitle"/>
    </w:pPr>
    <w:r w:rsidRPr="007C1797">
      <w:t>FINAL REPORT ON THE ITS AMENDING REGULATION (EU) 2018/1624 IN RESPONSE TO BRRD2</w:t>
    </w:r>
    <w:r>
      <w:rPr>
        <w:noProof/>
      </w:rPr>
      <w:drawing>
        <wp:anchor distT="0" distB="0" distL="114300" distR="114300" simplePos="0" relativeHeight="251658752" behindDoc="1" locked="0" layoutInCell="1" allowOverlap="1" wp14:anchorId="536EC5F0" wp14:editId="5BAC7788">
          <wp:simplePos x="0" y="0"/>
          <wp:positionH relativeFrom="column">
            <wp:posOffset>4689475</wp:posOffset>
          </wp:positionH>
          <wp:positionV relativeFrom="page">
            <wp:posOffset>620395</wp:posOffset>
          </wp:positionV>
          <wp:extent cx="1207770" cy="447675"/>
          <wp:effectExtent l="0" t="0" r="11430" b="9525"/>
          <wp:wrapTight wrapText="bothSides">
            <wp:wrapPolygon edited="0">
              <wp:start x="0" y="0"/>
              <wp:lineTo x="0" y="20834"/>
              <wp:lineTo x="21350" y="20834"/>
              <wp:lineTo x="2135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51478" w14:textId="77777777" w:rsidR="0035136D" w:rsidRDefault="003513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6411C" w14:textId="77777777" w:rsidR="00C37A76" w:rsidRDefault="00494702">
    <w:sdt>
      <w:sdtPr>
        <w:id w:val="-177895726"/>
        <w:temporary/>
        <w:showingPlcHdr/>
      </w:sdtPr>
      <w:sdtEndPr/>
      <w:sdtContent>
        <w:r w:rsidR="00C37A76">
          <w:t>[Type text]</w:t>
        </w:r>
      </w:sdtContent>
    </w:sdt>
    <w:r w:rsidR="00C37A76">
      <w:ptab w:relativeTo="margin" w:alignment="center" w:leader="none"/>
    </w:r>
    <w:sdt>
      <w:sdtPr>
        <w:id w:val="1957137012"/>
        <w:temporary/>
        <w:showingPlcHdr/>
      </w:sdtPr>
      <w:sdtEndPr/>
      <w:sdtContent>
        <w:r w:rsidR="00C37A76">
          <w:t>[Type text]</w:t>
        </w:r>
      </w:sdtContent>
    </w:sdt>
    <w:r w:rsidR="00C37A76">
      <w:ptab w:relativeTo="margin" w:alignment="right" w:leader="none"/>
    </w:r>
    <w:sdt>
      <w:sdtPr>
        <w:id w:val="-724136856"/>
        <w:temporary/>
        <w:showingPlcHdr/>
      </w:sdtPr>
      <w:sdtEndPr/>
      <w:sdtContent>
        <w:r w:rsidR="00C37A76">
          <w:t>[Type text]</w:t>
        </w:r>
      </w:sdtContent>
    </w:sdt>
  </w:p>
  <w:p w14:paraId="611C74EF" w14:textId="77777777" w:rsidR="00C37A76" w:rsidRDefault="00C37A7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FFD39" w14:textId="77777777" w:rsidR="00C37A76" w:rsidRPr="00F9452C" w:rsidRDefault="00C37A76" w:rsidP="00224D96">
    <w:pPr>
      <w:pStyle w:val="Runningtitle"/>
    </w:pPr>
    <w:r w:rsidRPr="007C1797">
      <w:t>FINAL REPORT ON THE ITS AMENDING REGULATION (EU) 2018/1624 IN RESPONSE TO THE BRRD2</w:t>
    </w:r>
  </w:p>
  <w:p w14:paraId="1D1223BD" w14:textId="77777777" w:rsidR="00C37A76" w:rsidRDefault="00C37A76">
    <w:pPr>
      <w:pStyle w:val="Header"/>
    </w:pPr>
    <w:r>
      <w:rPr>
        <w:noProof/>
      </w:rPr>
      <w:drawing>
        <wp:anchor distT="0" distB="0" distL="114300" distR="114300" simplePos="0" relativeHeight="251659776" behindDoc="1" locked="0" layoutInCell="1" allowOverlap="1" wp14:anchorId="71779597" wp14:editId="13B2B77F">
          <wp:simplePos x="0" y="0"/>
          <wp:positionH relativeFrom="column">
            <wp:posOffset>4368165</wp:posOffset>
          </wp:positionH>
          <wp:positionV relativeFrom="page">
            <wp:posOffset>737870</wp:posOffset>
          </wp:positionV>
          <wp:extent cx="1207770" cy="447675"/>
          <wp:effectExtent l="0" t="0" r="0" b="9525"/>
          <wp:wrapTight wrapText="bothSides">
            <wp:wrapPolygon edited="0">
              <wp:start x="0" y="0"/>
              <wp:lineTo x="0" y="21140"/>
              <wp:lineTo x="21123" y="21140"/>
              <wp:lineTo x="211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7168F" w14:textId="77777777" w:rsidR="00C37A76" w:rsidRDefault="00C37A76" w:rsidP="00E677EF">
    <w:pPr>
      <w:pStyle w:val="Runningtitle"/>
    </w:pPr>
    <w:r w:rsidRPr="001834D4">
      <w:t xml:space="preserve">running </w:t>
    </w:r>
    <w:r>
      <w:t>title comes here in running title style</w:t>
    </w:r>
    <w:r>
      <w:rPr>
        <w:noProof/>
      </w:rPr>
      <w:drawing>
        <wp:anchor distT="0" distB="0" distL="114300" distR="114300" simplePos="0" relativeHeight="251653632" behindDoc="1" locked="1" layoutInCell="1" allowOverlap="0" wp14:anchorId="12286516" wp14:editId="32BAC752">
          <wp:simplePos x="0" y="0"/>
          <wp:positionH relativeFrom="page">
            <wp:posOffset>4702175</wp:posOffset>
          </wp:positionH>
          <wp:positionV relativeFrom="page">
            <wp:posOffset>450215</wp:posOffset>
          </wp:positionV>
          <wp:extent cx="1941830" cy="719455"/>
          <wp:effectExtent l="0" t="0" r="0" b="0"/>
          <wp:wrapNone/>
          <wp:docPr id="1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15:restartNumberingAfterBreak="0">
    <w:nsid w:val="1B180EB8"/>
    <w:multiLevelType w:val="singleLevel"/>
    <w:tmpl w:val="CB4A6434"/>
    <w:lvl w:ilvl="0">
      <w:start w:val="1"/>
      <w:numFmt w:val="decimal"/>
      <w:lvlRestart w:val="0"/>
      <w:lvlText w:val="(%1)"/>
      <w:lvlJc w:val="left"/>
      <w:pPr>
        <w:tabs>
          <w:tab w:val="num" w:pos="709"/>
        </w:tabs>
        <w:ind w:left="709" w:hanging="709"/>
      </w:pPr>
    </w:lvl>
  </w:abstractNum>
  <w:abstractNum w:abstractNumId="6"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21503BE3"/>
    <w:multiLevelType w:val="hybridMultilevel"/>
    <w:tmpl w:val="5DC83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A0A1380"/>
    <w:multiLevelType w:val="hybridMultilevel"/>
    <w:tmpl w:val="9D64AE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D5B6DB2"/>
    <w:multiLevelType w:val="hybridMultilevel"/>
    <w:tmpl w:val="38F22D3E"/>
    <w:lvl w:ilvl="0" w:tplc="08090017">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11"/>
  </w:num>
  <w:num w:numId="5">
    <w:abstractNumId w:val="15"/>
  </w:num>
  <w:num w:numId="6">
    <w:abstractNumId w:val="1"/>
  </w:num>
  <w:num w:numId="7">
    <w:abstractNumId w:val="14"/>
  </w:num>
  <w:num w:numId="8">
    <w:abstractNumId w:val="13"/>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0"/>
  </w:num>
  <w:num w:numId="16">
    <w:abstractNumId w:val="3"/>
  </w:num>
  <w:num w:numId="17">
    <w:abstractNumId w:val="8"/>
  </w:num>
  <w:num w:numId="18">
    <w:abstractNumId w:val="16"/>
  </w:num>
  <w:num w:numId="19">
    <w:abstractNumId w:val="4"/>
  </w:num>
  <w:num w:numId="20">
    <w:abstractNumId w:val="6"/>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7"/>
  </w:num>
  <w:num w:numId="29">
    <w:abstractNumId w:val="9"/>
  </w:num>
  <w:num w:numId="30">
    <w:abstractNumId w:val="5"/>
  </w:num>
  <w:num w:numId="31">
    <w:abstractNumId w:val="7"/>
  </w:num>
  <w:num w:numId="32">
    <w:abstractNumId w:val="18"/>
    <w:lvlOverride w:ilvl="0">
      <w:startOverride w:val="1"/>
    </w:lvlOverride>
    <w:lvlOverride w:ilvl="1"/>
    <w:lvlOverride w:ilvl="2"/>
    <w:lvlOverride w:ilvl="3"/>
    <w:lvlOverride w:ilvl="4"/>
    <w:lvlOverride w:ilvl="5"/>
    <w:lvlOverride w:ilvl="6"/>
    <w:lvlOverride w:ilvl="7"/>
    <w:lvlOverride w:ilvl="8"/>
  </w:num>
  <w:num w:numId="33">
    <w:abstractNumId w:val="18"/>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9"/>
  </w:num>
  <w:num w:numId="37">
    <w:abstractNumId w:val="12"/>
  </w:num>
  <w:num w:numId="38">
    <w:abstractNumId w:val="13"/>
  </w:num>
  <w:num w:numId="39">
    <w:abstractNumId w:val="13"/>
  </w:num>
  <w:num w:numId="40">
    <w:abstractNumId w:val="14"/>
  </w:num>
  <w:num w:numId="4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7C1797"/>
    <w:rsid w:val="00001873"/>
    <w:rsid w:val="00003F50"/>
    <w:rsid w:val="00013281"/>
    <w:rsid w:val="000231B7"/>
    <w:rsid w:val="00027CA0"/>
    <w:rsid w:val="00030D65"/>
    <w:rsid w:val="00040129"/>
    <w:rsid w:val="00060F40"/>
    <w:rsid w:val="00062830"/>
    <w:rsid w:val="00073D91"/>
    <w:rsid w:val="000774B3"/>
    <w:rsid w:val="000843CD"/>
    <w:rsid w:val="000A1C81"/>
    <w:rsid w:val="000A3851"/>
    <w:rsid w:val="000B1645"/>
    <w:rsid w:val="000C5A8A"/>
    <w:rsid w:val="000C7FD8"/>
    <w:rsid w:val="000D7A44"/>
    <w:rsid w:val="000E0C27"/>
    <w:rsid w:val="000E6D15"/>
    <w:rsid w:val="000F33D3"/>
    <w:rsid w:val="000F607B"/>
    <w:rsid w:val="000F6495"/>
    <w:rsid w:val="000F6FD8"/>
    <w:rsid w:val="001030C0"/>
    <w:rsid w:val="001061FA"/>
    <w:rsid w:val="0011517F"/>
    <w:rsid w:val="00121BB0"/>
    <w:rsid w:val="0012686C"/>
    <w:rsid w:val="0013090C"/>
    <w:rsid w:val="00131C5D"/>
    <w:rsid w:val="00145D24"/>
    <w:rsid w:val="00152832"/>
    <w:rsid w:val="001600FC"/>
    <w:rsid w:val="00172007"/>
    <w:rsid w:val="0017446F"/>
    <w:rsid w:val="00177CB9"/>
    <w:rsid w:val="001834D4"/>
    <w:rsid w:val="00192287"/>
    <w:rsid w:val="001A016C"/>
    <w:rsid w:val="001A2A81"/>
    <w:rsid w:val="001A5BD4"/>
    <w:rsid w:val="001A70A8"/>
    <w:rsid w:val="001B2C0D"/>
    <w:rsid w:val="001B6017"/>
    <w:rsid w:val="001B7A0B"/>
    <w:rsid w:val="001B7EB3"/>
    <w:rsid w:val="001C1FD9"/>
    <w:rsid w:val="001C4D53"/>
    <w:rsid w:val="001C5BC2"/>
    <w:rsid w:val="001D0179"/>
    <w:rsid w:val="001E1188"/>
    <w:rsid w:val="001E3599"/>
    <w:rsid w:val="001F1CB9"/>
    <w:rsid w:val="001F7501"/>
    <w:rsid w:val="00205878"/>
    <w:rsid w:val="00213D7B"/>
    <w:rsid w:val="00214DEC"/>
    <w:rsid w:val="00224761"/>
    <w:rsid w:val="00224A3F"/>
    <w:rsid w:val="00224D96"/>
    <w:rsid w:val="002306C7"/>
    <w:rsid w:val="0024156A"/>
    <w:rsid w:val="00241BD8"/>
    <w:rsid w:val="002434B0"/>
    <w:rsid w:val="00254CA9"/>
    <w:rsid w:val="00262F08"/>
    <w:rsid w:val="0027418E"/>
    <w:rsid w:val="00290DA3"/>
    <w:rsid w:val="002A3A19"/>
    <w:rsid w:val="002C0DCF"/>
    <w:rsid w:val="002D1867"/>
    <w:rsid w:val="002F2009"/>
    <w:rsid w:val="00300924"/>
    <w:rsid w:val="003025A8"/>
    <w:rsid w:val="003129B6"/>
    <w:rsid w:val="00314D6E"/>
    <w:rsid w:val="00320E57"/>
    <w:rsid w:val="003221EF"/>
    <w:rsid w:val="00322C23"/>
    <w:rsid w:val="003248A2"/>
    <w:rsid w:val="00336846"/>
    <w:rsid w:val="0035136D"/>
    <w:rsid w:val="0035477B"/>
    <w:rsid w:val="003604AA"/>
    <w:rsid w:val="00372BEC"/>
    <w:rsid w:val="00392385"/>
    <w:rsid w:val="003B5D74"/>
    <w:rsid w:val="003D7A72"/>
    <w:rsid w:val="003E318D"/>
    <w:rsid w:val="00412567"/>
    <w:rsid w:val="004172D1"/>
    <w:rsid w:val="00424530"/>
    <w:rsid w:val="0043577F"/>
    <w:rsid w:val="0043675A"/>
    <w:rsid w:val="00441F85"/>
    <w:rsid w:val="0045301B"/>
    <w:rsid w:val="00455E0E"/>
    <w:rsid w:val="004719B4"/>
    <w:rsid w:val="00471CA1"/>
    <w:rsid w:val="00471CCE"/>
    <w:rsid w:val="00481AC4"/>
    <w:rsid w:val="00482FB6"/>
    <w:rsid w:val="00494702"/>
    <w:rsid w:val="004955E7"/>
    <w:rsid w:val="004A5D8B"/>
    <w:rsid w:val="004B2FC0"/>
    <w:rsid w:val="004B7784"/>
    <w:rsid w:val="004C1B19"/>
    <w:rsid w:val="004C6392"/>
    <w:rsid w:val="004D3523"/>
    <w:rsid w:val="004D7668"/>
    <w:rsid w:val="004E405B"/>
    <w:rsid w:val="004F0AB6"/>
    <w:rsid w:val="004F63DB"/>
    <w:rsid w:val="00501950"/>
    <w:rsid w:val="00505C64"/>
    <w:rsid w:val="005105EF"/>
    <w:rsid w:val="00517670"/>
    <w:rsid w:val="00523895"/>
    <w:rsid w:val="005410AB"/>
    <w:rsid w:val="00543A44"/>
    <w:rsid w:val="00553D6B"/>
    <w:rsid w:val="00565691"/>
    <w:rsid w:val="00571BB6"/>
    <w:rsid w:val="00575BA7"/>
    <w:rsid w:val="00582AA7"/>
    <w:rsid w:val="0058477C"/>
    <w:rsid w:val="0058568F"/>
    <w:rsid w:val="005A6911"/>
    <w:rsid w:val="005B5C09"/>
    <w:rsid w:val="005C3DFF"/>
    <w:rsid w:val="005C498B"/>
    <w:rsid w:val="005D4005"/>
    <w:rsid w:val="005D40D1"/>
    <w:rsid w:val="006017FA"/>
    <w:rsid w:val="006059B2"/>
    <w:rsid w:val="00610305"/>
    <w:rsid w:val="00610419"/>
    <w:rsid w:val="00611DDB"/>
    <w:rsid w:val="00612C7B"/>
    <w:rsid w:val="006209BD"/>
    <w:rsid w:val="006224C1"/>
    <w:rsid w:val="006269B7"/>
    <w:rsid w:val="006307A5"/>
    <w:rsid w:val="00633DC7"/>
    <w:rsid w:val="00636E1D"/>
    <w:rsid w:val="00650CEE"/>
    <w:rsid w:val="00655112"/>
    <w:rsid w:val="00657184"/>
    <w:rsid w:val="00663B0A"/>
    <w:rsid w:val="006641F8"/>
    <w:rsid w:val="00670254"/>
    <w:rsid w:val="006973AC"/>
    <w:rsid w:val="006C186D"/>
    <w:rsid w:val="006D7393"/>
    <w:rsid w:val="006E55E1"/>
    <w:rsid w:val="006F2E13"/>
    <w:rsid w:val="006F445D"/>
    <w:rsid w:val="006F72C6"/>
    <w:rsid w:val="00703E4E"/>
    <w:rsid w:val="007071C6"/>
    <w:rsid w:val="00711E1C"/>
    <w:rsid w:val="00721FBA"/>
    <w:rsid w:val="00730352"/>
    <w:rsid w:val="00732E94"/>
    <w:rsid w:val="00742839"/>
    <w:rsid w:val="00755505"/>
    <w:rsid w:val="0076316D"/>
    <w:rsid w:val="00772993"/>
    <w:rsid w:val="007815FB"/>
    <w:rsid w:val="00781D80"/>
    <w:rsid w:val="007A0054"/>
    <w:rsid w:val="007A44A6"/>
    <w:rsid w:val="007A5353"/>
    <w:rsid w:val="007B3D63"/>
    <w:rsid w:val="007B69D6"/>
    <w:rsid w:val="007C1797"/>
    <w:rsid w:val="007C55D0"/>
    <w:rsid w:val="007D40CC"/>
    <w:rsid w:val="007D78E6"/>
    <w:rsid w:val="00813BAC"/>
    <w:rsid w:val="00813CD4"/>
    <w:rsid w:val="00821B9D"/>
    <w:rsid w:val="0082543F"/>
    <w:rsid w:val="0084468C"/>
    <w:rsid w:val="008552A0"/>
    <w:rsid w:val="00865492"/>
    <w:rsid w:val="00867CB4"/>
    <w:rsid w:val="008708AB"/>
    <w:rsid w:val="00874ED5"/>
    <w:rsid w:val="008C1A94"/>
    <w:rsid w:val="008C5B82"/>
    <w:rsid w:val="008F3908"/>
    <w:rsid w:val="009014B6"/>
    <w:rsid w:val="009017D9"/>
    <w:rsid w:val="00912882"/>
    <w:rsid w:val="00912895"/>
    <w:rsid w:val="009210DE"/>
    <w:rsid w:val="009417D1"/>
    <w:rsid w:val="00943B87"/>
    <w:rsid w:val="00945F72"/>
    <w:rsid w:val="0096160F"/>
    <w:rsid w:val="00965B80"/>
    <w:rsid w:val="00971C92"/>
    <w:rsid w:val="00993B1E"/>
    <w:rsid w:val="009A4CC8"/>
    <w:rsid w:val="009B0DFE"/>
    <w:rsid w:val="009C12C9"/>
    <w:rsid w:val="009C1CE7"/>
    <w:rsid w:val="009D55F7"/>
    <w:rsid w:val="009E38A2"/>
    <w:rsid w:val="009E76BE"/>
    <w:rsid w:val="009E79BF"/>
    <w:rsid w:val="009F12DA"/>
    <w:rsid w:val="009F3FE6"/>
    <w:rsid w:val="009F53AF"/>
    <w:rsid w:val="00A00E34"/>
    <w:rsid w:val="00A062C7"/>
    <w:rsid w:val="00A10257"/>
    <w:rsid w:val="00A13558"/>
    <w:rsid w:val="00A14332"/>
    <w:rsid w:val="00A23608"/>
    <w:rsid w:val="00A27B9D"/>
    <w:rsid w:val="00A27D88"/>
    <w:rsid w:val="00A304D0"/>
    <w:rsid w:val="00A4607D"/>
    <w:rsid w:val="00A53EC9"/>
    <w:rsid w:val="00A725D6"/>
    <w:rsid w:val="00A72C7D"/>
    <w:rsid w:val="00A81586"/>
    <w:rsid w:val="00A92440"/>
    <w:rsid w:val="00AB104D"/>
    <w:rsid w:val="00AB2476"/>
    <w:rsid w:val="00AD0C73"/>
    <w:rsid w:val="00AE1A2D"/>
    <w:rsid w:val="00AE5347"/>
    <w:rsid w:val="00AE55F6"/>
    <w:rsid w:val="00AE56DB"/>
    <w:rsid w:val="00AE74CE"/>
    <w:rsid w:val="00B13C87"/>
    <w:rsid w:val="00B1710D"/>
    <w:rsid w:val="00B2167D"/>
    <w:rsid w:val="00B24A07"/>
    <w:rsid w:val="00B32510"/>
    <w:rsid w:val="00B3595C"/>
    <w:rsid w:val="00B36D5E"/>
    <w:rsid w:val="00B40DF1"/>
    <w:rsid w:val="00B43E07"/>
    <w:rsid w:val="00B515BF"/>
    <w:rsid w:val="00B526A8"/>
    <w:rsid w:val="00B55FAB"/>
    <w:rsid w:val="00B6734E"/>
    <w:rsid w:val="00B76198"/>
    <w:rsid w:val="00B83D9D"/>
    <w:rsid w:val="00B84529"/>
    <w:rsid w:val="00B96F7F"/>
    <w:rsid w:val="00BB2111"/>
    <w:rsid w:val="00BC7FD2"/>
    <w:rsid w:val="00C03AE7"/>
    <w:rsid w:val="00C05D9D"/>
    <w:rsid w:val="00C12FA8"/>
    <w:rsid w:val="00C26D36"/>
    <w:rsid w:val="00C35592"/>
    <w:rsid w:val="00C356AF"/>
    <w:rsid w:val="00C37A76"/>
    <w:rsid w:val="00C41927"/>
    <w:rsid w:val="00C439D6"/>
    <w:rsid w:val="00C43FD9"/>
    <w:rsid w:val="00C44EB2"/>
    <w:rsid w:val="00C47E8F"/>
    <w:rsid w:val="00C5005D"/>
    <w:rsid w:val="00C57BC4"/>
    <w:rsid w:val="00C60915"/>
    <w:rsid w:val="00C84497"/>
    <w:rsid w:val="00C964B8"/>
    <w:rsid w:val="00CD4AF7"/>
    <w:rsid w:val="00CE3517"/>
    <w:rsid w:val="00D00C0F"/>
    <w:rsid w:val="00D01670"/>
    <w:rsid w:val="00D05C26"/>
    <w:rsid w:val="00D062AC"/>
    <w:rsid w:val="00D152E7"/>
    <w:rsid w:val="00D21F91"/>
    <w:rsid w:val="00D3796C"/>
    <w:rsid w:val="00D44360"/>
    <w:rsid w:val="00D46FAE"/>
    <w:rsid w:val="00D53948"/>
    <w:rsid w:val="00D549B9"/>
    <w:rsid w:val="00D557EE"/>
    <w:rsid w:val="00D56058"/>
    <w:rsid w:val="00D57F4B"/>
    <w:rsid w:val="00D656AD"/>
    <w:rsid w:val="00D76E91"/>
    <w:rsid w:val="00D849AA"/>
    <w:rsid w:val="00D872D1"/>
    <w:rsid w:val="00DA6122"/>
    <w:rsid w:val="00DB4809"/>
    <w:rsid w:val="00DB5E8F"/>
    <w:rsid w:val="00DC3E99"/>
    <w:rsid w:val="00DC7C3E"/>
    <w:rsid w:val="00DE30E0"/>
    <w:rsid w:val="00DF0647"/>
    <w:rsid w:val="00E22BCE"/>
    <w:rsid w:val="00E326FF"/>
    <w:rsid w:val="00E337DC"/>
    <w:rsid w:val="00E361B0"/>
    <w:rsid w:val="00E57719"/>
    <w:rsid w:val="00E62DB8"/>
    <w:rsid w:val="00E677EF"/>
    <w:rsid w:val="00E859DF"/>
    <w:rsid w:val="00E87041"/>
    <w:rsid w:val="00E94506"/>
    <w:rsid w:val="00E95201"/>
    <w:rsid w:val="00EA1807"/>
    <w:rsid w:val="00EA4947"/>
    <w:rsid w:val="00EC0C41"/>
    <w:rsid w:val="00EC11F0"/>
    <w:rsid w:val="00EC1594"/>
    <w:rsid w:val="00ED2521"/>
    <w:rsid w:val="00ED2FB9"/>
    <w:rsid w:val="00EE456B"/>
    <w:rsid w:val="00EF35BF"/>
    <w:rsid w:val="00F00C37"/>
    <w:rsid w:val="00F034AC"/>
    <w:rsid w:val="00F160D2"/>
    <w:rsid w:val="00F4748D"/>
    <w:rsid w:val="00F612B3"/>
    <w:rsid w:val="00F653FF"/>
    <w:rsid w:val="00F7064A"/>
    <w:rsid w:val="00F747AD"/>
    <w:rsid w:val="00F942CA"/>
    <w:rsid w:val="00F9452C"/>
    <w:rsid w:val="00FB7206"/>
    <w:rsid w:val="00FC1D72"/>
    <w:rsid w:val="00FE0C92"/>
    <w:rsid w:val="00FE5577"/>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60DD2E4"/>
  <w15:docId w15:val="{63B80F37-4545-42E6-AC19-8FDCAD951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2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rsid w:val="001030C0"/>
    <w:rPr>
      <w:sz w:val="16"/>
    </w:rPr>
  </w:style>
  <w:style w:type="paragraph" w:styleId="CommentText">
    <w:name w:val="annotation text"/>
    <w:basedOn w:val="Normal"/>
    <w:link w:val="CommentTextChar"/>
    <w:rsid w:val="001030C0"/>
    <w:pPr>
      <w:spacing w:after="240"/>
    </w:pPr>
    <w:rPr>
      <w:rFonts w:ascii="Arial" w:eastAsia="Times New Roman" w:hAnsi="Arial" w:cs="Times New Roman"/>
      <w:sz w:val="20"/>
      <w:szCs w:val="20"/>
      <w:lang w:val="en-GB" w:eastAsia="en-GB"/>
    </w:rPr>
  </w:style>
  <w:style w:type="character" w:customStyle="1" w:styleId="CommentTextChar">
    <w:name w:val="Comment Text Char"/>
    <w:basedOn w:val="DefaultParagraphFont"/>
    <w:link w:val="CommentText"/>
    <w:rsid w:val="001030C0"/>
    <w:rPr>
      <w:rFonts w:ascii="Arial" w:eastAsia="Times New Roman" w:hAnsi="Arial"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C4D53"/>
    <w:pPr>
      <w:spacing w:after="0"/>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1C4D53"/>
    <w:rPr>
      <w:rFonts w:ascii="Arial" w:eastAsia="Times New Roman" w:hAnsi="Arial"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Regulatory%20Products\Consultation%20Paper%20+%20Final%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8A880-95AE-4C18-8C73-5D154BB1E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Consultation Paper + Final Report</Template>
  <TotalTime>45</TotalTime>
  <Pages>9</Pages>
  <Words>1016</Words>
  <Characters>5793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 staff</dc:creator>
  <cp:lastModifiedBy>Pilar Gutierrez</cp:lastModifiedBy>
  <cp:revision>11</cp:revision>
  <cp:lastPrinted>2015-02-27T11:42:00Z</cp:lastPrinted>
  <dcterms:created xsi:type="dcterms:W3CDTF">2021-05-06T14:58:00Z</dcterms:created>
  <dcterms:modified xsi:type="dcterms:W3CDTF">2021-07-30T08:47:00Z</dcterms:modified>
</cp:coreProperties>
</file>